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50" w:rsidRDefault="00121E50">
      <w:pPr>
        <w:jc w:val="center"/>
      </w:pPr>
    </w:p>
    <w:p w:rsidR="00121E50" w:rsidRPr="00461E86" w:rsidRDefault="00461E86">
      <w:pPr>
        <w:pBdr>
          <w:top w:val="nil"/>
          <w:left w:val="nil"/>
          <w:bottom w:val="nil"/>
          <w:right w:val="nil"/>
          <w:between w:val="nil"/>
        </w:pBdr>
        <w:tabs>
          <w:tab w:val="center" w:pos="4251"/>
          <w:tab w:val="right" w:pos="8503"/>
        </w:tabs>
        <w:jc w:val="center"/>
        <w:rPr>
          <w:b/>
          <w:color w:val="000000"/>
          <w:sz w:val="28"/>
          <w:szCs w:val="28"/>
          <w:lang w:val="id-ID"/>
        </w:rPr>
      </w:pPr>
      <w:r>
        <w:rPr>
          <w:b/>
          <w:color w:val="000000"/>
          <w:sz w:val="28"/>
          <w:szCs w:val="28"/>
          <w:lang w:val="id-ID"/>
        </w:rPr>
        <w:t>Pelatihan Hermeneutika dan Homiletika di GKKI Purworejo</w:t>
      </w:r>
    </w:p>
    <w:p w:rsidR="00121E50" w:rsidRDefault="00121E50">
      <w:pPr>
        <w:widowControl/>
        <w:jc w:val="center"/>
        <w:rPr>
          <w:b/>
          <w:color w:val="000000"/>
          <w:sz w:val="24"/>
          <w:szCs w:val="24"/>
        </w:rPr>
      </w:pPr>
    </w:p>
    <w:p w:rsidR="00121E50" w:rsidRDefault="00461E86">
      <w:pPr>
        <w:widowControl/>
        <w:jc w:val="center"/>
        <w:rPr>
          <w:color w:val="000000"/>
          <w:sz w:val="24"/>
          <w:szCs w:val="24"/>
        </w:rPr>
      </w:pPr>
      <w:r>
        <w:rPr>
          <w:color w:val="000000"/>
          <w:sz w:val="24"/>
          <w:szCs w:val="24"/>
          <w:lang w:val="id-ID"/>
        </w:rPr>
        <w:t>Sunarto</w:t>
      </w:r>
      <w:r w:rsidR="00B05CFD">
        <w:rPr>
          <w:color w:val="000000"/>
          <w:sz w:val="24"/>
          <w:szCs w:val="24"/>
          <w:vertAlign w:val="superscript"/>
        </w:rPr>
        <w:t>1*</w:t>
      </w:r>
      <w:r w:rsidR="00B05CFD">
        <w:rPr>
          <w:color w:val="000000"/>
          <w:sz w:val="24"/>
          <w:szCs w:val="24"/>
        </w:rPr>
        <w:t xml:space="preserve">, </w:t>
      </w:r>
      <w:r>
        <w:rPr>
          <w:color w:val="000000"/>
          <w:sz w:val="24"/>
          <w:szCs w:val="24"/>
          <w:lang w:val="id-ID"/>
        </w:rPr>
        <w:t>Robi Prianto</w:t>
      </w:r>
      <w:r w:rsidR="00B05CFD">
        <w:rPr>
          <w:color w:val="000000"/>
          <w:sz w:val="24"/>
          <w:szCs w:val="24"/>
          <w:vertAlign w:val="superscript"/>
        </w:rPr>
        <w:t>2</w:t>
      </w:r>
      <w:r w:rsidR="00B05CFD">
        <w:rPr>
          <w:color w:val="000000"/>
          <w:sz w:val="24"/>
          <w:szCs w:val="24"/>
        </w:rPr>
        <w:t xml:space="preserve">, </w:t>
      </w:r>
      <w:r w:rsidR="00A82246">
        <w:rPr>
          <w:color w:val="000000"/>
          <w:sz w:val="24"/>
          <w:szCs w:val="24"/>
          <w:lang w:val="id-ID"/>
        </w:rPr>
        <w:t xml:space="preserve">Dreitsohn </w:t>
      </w:r>
      <w:r>
        <w:rPr>
          <w:color w:val="000000"/>
          <w:sz w:val="24"/>
          <w:szCs w:val="24"/>
          <w:lang w:val="id-ID"/>
        </w:rPr>
        <w:t>Franklyn Purba</w:t>
      </w:r>
      <w:r w:rsidR="00B05CFD">
        <w:rPr>
          <w:color w:val="000000"/>
          <w:sz w:val="24"/>
          <w:szCs w:val="24"/>
          <w:vertAlign w:val="superscript"/>
        </w:rPr>
        <w:t>3</w:t>
      </w:r>
      <w:r w:rsidR="00B05CFD">
        <w:rPr>
          <w:color w:val="000000"/>
          <w:sz w:val="24"/>
          <w:szCs w:val="24"/>
        </w:rPr>
        <w:t xml:space="preserve">, </w:t>
      </w:r>
      <w:r>
        <w:rPr>
          <w:color w:val="000000"/>
          <w:sz w:val="24"/>
          <w:szCs w:val="24"/>
          <w:lang w:val="id-ID"/>
        </w:rPr>
        <w:t>Yohanes Hasiholan Tampubolon</w:t>
      </w:r>
      <w:r w:rsidRPr="00461E86">
        <w:rPr>
          <w:color w:val="000000"/>
          <w:sz w:val="24"/>
          <w:szCs w:val="24"/>
          <w:vertAlign w:val="superscript"/>
          <w:lang w:val="id-ID"/>
        </w:rPr>
        <w:t>4</w:t>
      </w:r>
      <w:r w:rsidR="00D85801">
        <w:rPr>
          <w:color w:val="000000"/>
          <w:sz w:val="24"/>
          <w:szCs w:val="24"/>
          <w:lang w:val="id-ID"/>
        </w:rPr>
        <w:t>, Vena Melinda</w:t>
      </w:r>
      <w:r>
        <w:rPr>
          <w:color w:val="000000"/>
          <w:sz w:val="24"/>
          <w:szCs w:val="24"/>
          <w:lang w:val="id-ID"/>
        </w:rPr>
        <w:t>Tiladuru</w:t>
      </w:r>
      <w:r>
        <w:rPr>
          <w:color w:val="000000"/>
          <w:sz w:val="24"/>
          <w:szCs w:val="24"/>
          <w:vertAlign w:val="superscript"/>
          <w:lang w:val="id-ID"/>
        </w:rPr>
        <w:t>5</w:t>
      </w:r>
      <w:r w:rsidR="00D85801">
        <w:rPr>
          <w:color w:val="000000"/>
          <w:sz w:val="24"/>
          <w:szCs w:val="24"/>
          <w:lang w:val="id-ID"/>
        </w:rPr>
        <w:t>, Aeron Frior Sihombing</w:t>
      </w:r>
      <w:r w:rsidR="00F35399" w:rsidRPr="00F35399">
        <w:rPr>
          <w:color w:val="000000"/>
          <w:sz w:val="24"/>
          <w:szCs w:val="24"/>
          <w:vertAlign w:val="superscript"/>
          <w:lang w:val="id-ID"/>
        </w:rPr>
        <w:t>6</w:t>
      </w:r>
      <w:r w:rsidR="00B05CFD">
        <w:rPr>
          <w:color w:val="000000"/>
          <w:sz w:val="24"/>
          <w:szCs w:val="24"/>
          <w:vertAlign w:val="superscript"/>
        </w:rPr>
        <w:t xml:space="preserve"> </w:t>
      </w:r>
    </w:p>
    <w:p w:rsidR="00121E50" w:rsidRDefault="00B05CFD">
      <w:pPr>
        <w:widowControl/>
        <w:shd w:val="clear" w:color="auto" w:fill="FFFFFF"/>
        <w:tabs>
          <w:tab w:val="left" w:pos="709"/>
        </w:tabs>
        <w:jc w:val="center"/>
        <w:rPr>
          <w:color w:val="000000"/>
          <w:sz w:val="24"/>
          <w:szCs w:val="24"/>
        </w:rPr>
      </w:pPr>
      <w:r>
        <w:rPr>
          <w:color w:val="000000"/>
          <w:sz w:val="24"/>
          <w:szCs w:val="24"/>
          <w:vertAlign w:val="superscript"/>
        </w:rPr>
        <w:t>1</w:t>
      </w:r>
      <w:r w:rsidR="00461E86">
        <w:rPr>
          <w:color w:val="000000"/>
          <w:sz w:val="24"/>
          <w:szCs w:val="24"/>
          <w:lang w:val="id-ID"/>
        </w:rPr>
        <w:t>Sekolah Tinggi Teologi SAPPI Ciranjang</w:t>
      </w:r>
      <w:r>
        <w:rPr>
          <w:color w:val="000000"/>
          <w:sz w:val="24"/>
          <w:szCs w:val="24"/>
        </w:rPr>
        <w:t xml:space="preserve"> </w:t>
      </w:r>
    </w:p>
    <w:p w:rsidR="00121E50" w:rsidRDefault="00B05CFD">
      <w:pPr>
        <w:widowControl/>
        <w:jc w:val="center"/>
        <w:rPr>
          <w:color w:val="000000"/>
          <w:sz w:val="24"/>
          <w:szCs w:val="24"/>
        </w:rPr>
      </w:pPr>
      <w:r>
        <w:rPr>
          <w:color w:val="000000"/>
          <w:sz w:val="24"/>
          <w:szCs w:val="24"/>
          <w:vertAlign w:val="superscript"/>
        </w:rPr>
        <w:t>2</w:t>
      </w:r>
      <w:r w:rsidR="00461E86">
        <w:rPr>
          <w:color w:val="000000"/>
          <w:sz w:val="24"/>
          <w:szCs w:val="24"/>
          <w:lang w:val="id-ID"/>
        </w:rPr>
        <w:t>Sekolah Tinggi Teologi SAPPI Ciranjang</w:t>
      </w:r>
    </w:p>
    <w:p w:rsidR="00461E86" w:rsidRDefault="00B05CFD">
      <w:pPr>
        <w:widowControl/>
        <w:tabs>
          <w:tab w:val="center" w:pos="4535"/>
          <w:tab w:val="left" w:pos="8189"/>
        </w:tabs>
        <w:rPr>
          <w:color w:val="000000"/>
          <w:sz w:val="24"/>
          <w:szCs w:val="24"/>
          <w:lang w:val="id-ID"/>
        </w:rPr>
      </w:pPr>
      <w:r>
        <w:rPr>
          <w:color w:val="000000"/>
          <w:sz w:val="24"/>
          <w:szCs w:val="24"/>
          <w:vertAlign w:val="superscript"/>
        </w:rPr>
        <w:tab/>
        <w:t>3</w:t>
      </w:r>
      <w:r w:rsidR="00461E86">
        <w:rPr>
          <w:color w:val="000000"/>
          <w:sz w:val="24"/>
          <w:szCs w:val="24"/>
          <w:lang w:val="id-ID"/>
        </w:rPr>
        <w:t>Sekolah Tinggi Teologi SAPPI Ciranjang</w:t>
      </w:r>
    </w:p>
    <w:p w:rsidR="00461E86" w:rsidRDefault="00461E86" w:rsidP="00461E86">
      <w:pPr>
        <w:widowControl/>
        <w:tabs>
          <w:tab w:val="center" w:pos="4535"/>
          <w:tab w:val="left" w:pos="8189"/>
        </w:tabs>
        <w:jc w:val="center"/>
        <w:rPr>
          <w:color w:val="000000"/>
          <w:sz w:val="24"/>
          <w:szCs w:val="24"/>
        </w:rPr>
      </w:pPr>
      <w:r>
        <w:rPr>
          <w:color w:val="000000"/>
          <w:sz w:val="24"/>
          <w:szCs w:val="24"/>
          <w:vertAlign w:val="superscript"/>
          <w:lang w:val="id-ID"/>
        </w:rPr>
        <w:t>4</w:t>
      </w:r>
      <w:r>
        <w:rPr>
          <w:color w:val="000000"/>
          <w:sz w:val="24"/>
          <w:szCs w:val="24"/>
          <w:lang w:val="id-ID"/>
        </w:rPr>
        <w:t>Sekolah Tinggi Teologi SAPPI Ciranjang</w:t>
      </w:r>
    </w:p>
    <w:p w:rsidR="00461E86" w:rsidRDefault="00461E86" w:rsidP="00461E86">
      <w:pPr>
        <w:widowControl/>
        <w:tabs>
          <w:tab w:val="center" w:pos="4535"/>
          <w:tab w:val="left" w:pos="8189"/>
        </w:tabs>
        <w:jc w:val="center"/>
        <w:rPr>
          <w:color w:val="000000"/>
          <w:sz w:val="24"/>
          <w:szCs w:val="24"/>
          <w:lang w:val="id-ID"/>
        </w:rPr>
      </w:pPr>
      <w:r>
        <w:rPr>
          <w:color w:val="000000"/>
          <w:sz w:val="24"/>
          <w:szCs w:val="24"/>
          <w:vertAlign w:val="superscript"/>
          <w:lang w:val="id-ID"/>
        </w:rPr>
        <w:t>5</w:t>
      </w:r>
      <w:r>
        <w:rPr>
          <w:color w:val="000000"/>
          <w:sz w:val="24"/>
          <w:szCs w:val="24"/>
          <w:lang w:val="id-ID"/>
        </w:rPr>
        <w:t>Sekolah Tinggi Teologi SAPPI Ciranjang</w:t>
      </w:r>
    </w:p>
    <w:p w:rsidR="00F35399" w:rsidRDefault="00F35399" w:rsidP="00F35399">
      <w:pPr>
        <w:widowControl/>
        <w:tabs>
          <w:tab w:val="center" w:pos="4535"/>
          <w:tab w:val="left" w:pos="8189"/>
        </w:tabs>
        <w:jc w:val="center"/>
        <w:rPr>
          <w:color w:val="000000"/>
          <w:sz w:val="24"/>
          <w:szCs w:val="24"/>
        </w:rPr>
      </w:pPr>
      <w:r>
        <w:rPr>
          <w:color w:val="000000"/>
          <w:sz w:val="24"/>
          <w:szCs w:val="24"/>
          <w:vertAlign w:val="superscript"/>
          <w:lang w:val="id-ID"/>
        </w:rPr>
        <w:t>6</w:t>
      </w:r>
      <w:r>
        <w:rPr>
          <w:color w:val="000000"/>
          <w:sz w:val="24"/>
          <w:szCs w:val="24"/>
          <w:lang w:val="id-ID"/>
        </w:rPr>
        <w:t>Sekolah Tinggi Teologi SAPPI Ciranjang</w:t>
      </w:r>
    </w:p>
    <w:p w:rsidR="00121E50" w:rsidRPr="00461E86" w:rsidRDefault="00B05CFD" w:rsidP="00461E86">
      <w:pPr>
        <w:widowControl/>
        <w:tabs>
          <w:tab w:val="center" w:pos="4535"/>
          <w:tab w:val="left" w:pos="8189"/>
        </w:tabs>
        <w:rPr>
          <w:color w:val="000000"/>
          <w:sz w:val="24"/>
          <w:szCs w:val="24"/>
          <w:lang w:val="id-ID"/>
        </w:rPr>
      </w:pPr>
      <w:r>
        <w:rPr>
          <w:color w:val="000000"/>
          <w:sz w:val="24"/>
          <w:szCs w:val="24"/>
        </w:rPr>
        <w:tab/>
        <w:t xml:space="preserve">*E-mail: </w:t>
      </w:r>
      <w:r w:rsidR="00461E86">
        <w:rPr>
          <w:color w:val="000000"/>
          <w:sz w:val="24"/>
          <w:szCs w:val="24"/>
          <w:lang w:val="id-ID"/>
        </w:rPr>
        <w:t>snartaa@gmail.com</w:t>
      </w:r>
    </w:p>
    <w:p w:rsidR="00121E50" w:rsidRDefault="00121E50"/>
    <w:p w:rsidR="00121E50" w:rsidRDefault="00121E50"/>
    <w:p w:rsidR="00121E50" w:rsidRDefault="00121E50"/>
    <w:p w:rsidR="00121E50" w:rsidRDefault="00B05CFD">
      <w:pPr>
        <w:widowControl/>
        <w:rPr>
          <w:b/>
          <w:i/>
          <w:sz w:val="20"/>
          <w:szCs w:val="20"/>
        </w:rPr>
      </w:pPr>
      <w:r>
        <w:rPr>
          <w:b/>
          <w:i/>
          <w:sz w:val="20"/>
          <w:szCs w:val="20"/>
        </w:rPr>
        <w:t>Abstract</w:t>
      </w:r>
    </w:p>
    <w:p w:rsidR="00121E50" w:rsidRDefault="00C8523F">
      <w:pPr>
        <w:widowControl/>
        <w:jc w:val="both"/>
        <w:rPr>
          <w:i/>
          <w:sz w:val="20"/>
          <w:szCs w:val="20"/>
        </w:rPr>
      </w:pPr>
      <w:r w:rsidRPr="00C8523F">
        <w:rPr>
          <w:i/>
          <w:sz w:val="20"/>
          <w:szCs w:val="20"/>
        </w:rPr>
        <w:t>The purpose of this PkM is to train the knowledge and skills of the GKKI congregations in Purworejo in hermeneutics and homiletics. PkM team gave lectures, questions and answers and the tasks carried out by the participants. This training is important because the Bible has gulfs (historical, cultural, linguistic, social and so on) that separate the current reader from the Bible writer. Likewise homiletics, because preaching is an important part of worship, as a means of building faith and means of evangelism. The method used is by going directly to the place of activity and conducting face-to-face training. The training process goes through three stages: preparation, implementation and evaluation as well as a follow-up to the results of the training. The results obtained are that the board and congregation are very enthusiastic in developing their knowledge and skills to preach. They also increasingly understand the importance of hermeneutics for interpreting the Bible.</w:t>
      </w:r>
    </w:p>
    <w:p w:rsidR="00121E50" w:rsidRDefault="00B05CFD">
      <w:pPr>
        <w:widowControl/>
        <w:jc w:val="both"/>
        <w:rPr>
          <w:i/>
          <w:sz w:val="20"/>
          <w:szCs w:val="20"/>
        </w:rPr>
      </w:pPr>
      <w:r>
        <w:rPr>
          <w:b/>
          <w:i/>
          <w:sz w:val="20"/>
          <w:szCs w:val="20"/>
        </w:rPr>
        <w:t>Keywords:</w:t>
      </w:r>
      <w:r>
        <w:rPr>
          <w:i/>
          <w:sz w:val="20"/>
          <w:szCs w:val="20"/>
        </w:rPr>
        <w:t xml:space="preserve"> </w:t>
      </w:r>
      <w:r w:rsidR="00C8523F" w:rsidRPr="00C8523F">
        <w:rPr>
          <w:i/>
          <w:sz w:val="20"/>
          <w:szCs w:val="20"/>
        </w:rPr>
        <w:t>training, hermeneutics, homiletics.</w:t>
      </w:r>
    </w:p>
    <w:p w:rsidR="00121E50" w:rsidRDefault="00121E50">
      <w:pPr>
        <w:widowControl/>
        <w:jc w:val="both"/>
        <w:rPr>
          <w:sz w:val="20"/>
          <w:szCs w:val="20"/>
        </w:rPr>
      </w:pPr>
    </w:p>
    <w:p w:rsidR="00121E50" w:rsidRDefault="00121E50">
      <w:pPr>
        <w:widowControl/>
        <w:jc w:val="both"/>
        <w:rPr>
          <w:sz w:val="20"/>
          <w:szCs w:val="20"/>
        </w:rPr>
      </w:pPr>
    </w:p>
    <w:p w:rsidR="00121E50" w:rsidRDefault="00B05CFD">
      <w:pPr>
        <w:widowControl/>
        <w:rPr>
          <w:b/>
          <w:sz w:val="20"/>
          <w:szCs w:val="20"/>
        </w:rPr>
      </w:pPr>
      <w:r>
        <w:rPr>
          <w:b/>
          <w:sz w:val="20"/>
          <w:szCs w:val="20"/>
        </w:rPr>
        <w:t>Abstrak</w:t>
      </w:r>
    </w:p>
    <w:p w:rsidR="00121E50" w:rsidRDefault="00B86020">
      <w:pPr>
        <w:widowControl/>
        <w:jc w:val="both"/>
        <w:rPr>
          <w:sz w:val="20"/>
          <w:szCs w:val="20"/>
        </w:rPr>
      </w:pPr>
      <w:r>
        <w:rPr>
          <w:sz w:val="20"/>
          <w:szCs w:val="20"/>
          <w:lang w:val="id-ID"/>
        </w:rPr>
        <w:t>Tujuan kegiatan PkM ini adalah untuk melatih pengetahuan dan ket</w:t>
      </w:r>
      <w:r w:rsidR="00C8523F">
        <w:rPr>
          <w:sz w:val="20"/>
          <w:szCs w:val="20"/>
          <w:lang w:val="id-ID"/>
        </w:rPr>
        <w:t>e</w:t>
      </w:r>
      <w:r>
        <w:rPr>
          <w:sz w:val="20"/>
          <w:szCs w:val="20"/>
          <w:lang w:val="id-ID"/>
        </w:rPr>
        <w:t xml:space="preserve">rampilan majelis-jemaat dalam hermeneutika dan homiletika. Tim PkM memberikan ceramah, tanya jawab dan tugas-tugas yang dikerjakan oleh peserta. Pelatihan ini penting karena Alkitab memiliki jurang (sejarah, budaya, bahasa, sosial dan sebagainya) yang memisahkan pembaca saat ini dan penulis Alkitab. Demikian juga homiletika, karena khotbah merupakan </w:t>
      </w:r>
      <w:r w:rsidRPr="00B86020">
        <w:rPr>
          <w:sz w:val="20"/>
          <w:szCs w:val="20"/>
          <w:lang w:val="id-ID"/>
        </w:rPr>
        <w:t>bagian penting dalam ibadah,</w:t>
      </w:r>
      <w:r>
        <w:rPr>
          <w:sz w:val="20"/>
          <w:szCs w:val="20"/>
          <w:lang w:val="id-ID"/>
        </w:rPr>
        <w:t xml:space="preserve"> </w:t>
      </w:r>
      <w:r w:rsidR="00C8523F">
        <w:rPr>
          <w:sz w:val="20"/>
          <w:szCs w:val="20"/>
          <w:lang w:val="id-ID"/>
        </w:rPr>
        <w:t xml:space="preserve">sebagai </w:t>
      </w:r>
      <w:r w:rsidRPr="00B86020">
        <w:rPr>
          <w:sz w:val="20"/>
          <w:szCs w:val="20"/>
          <w:lang w:val="id-ID"/>
        </w:rPr>
        <w:t>sarana pembinaan iman</w:t>
      </w:r>
      <w:r>
        <w:rPr>
          <w:sz w:val="20"/>
          <w:szCs w:val="20"/>
          <w:lang w:val="id-ID"/>
        </w:rPr>
        <w:t xml:space="preserve"> dan</w:t>
      </w:r>
      <w:r w:rsidRPr="00B86020">
        <w:rPr>
          <w:sz w:val="20"/>
          <w:szCs w:val="20"/>
          <w:lang w:val="id-ID"/>
        </w:rPr>
        <w:t xml:space="preserve"> sarana penginjilan.</w:t>
      </w:r>
      <w:r>
        <w:rPr>
          <w:sz w:val="20"/>
          <w:szCs w:val="20"/>
          <w:lang w:val="id-ID"/>
        </w:rPr>
        <w:t xml:space="preserve"> Metode yang digunakan dengan mendatangi langsung tempat kegiatan dan melakukan pelatihan secara tatap muka. </w:t>
      </w:r>
      <w:r w:rsidRPr="00B86020">
        <w:rPr>
          <w:sz w:val="20"/>
          <w:szCs w:val="20"/>
          <w:lang w:val="id-ID"/>
        </w:rPr>
        <w:t>Proses pelatihan melalui tiga tahap: persiapan, pelaksanaan dan evaluasi juga tindak lanjut hasil pelatihan.</w:t>
      </w:r>
      <w:r>
        <w:rPr>
          <w:sz w:val="20"/>
          <w:szCs w:val="20"/>
          <w:lang w:val="id-ID"/>
        </w:rPr>
        <w:t xml:space="preserve"> H</w:t>
      </w:r>
      <w:r w:rsidRPr="00B86020">
        <w:rPr>
          <w:sz w:val="20"/>
          <w:szCs w:val="20"/>
          <w:lang w:val="id-ID"/>
        </w:rPr>
        <w:t xml:space="preserve">asil yang diperoleh yaitu </w:t>
      </w:r>
      <w:r>
        <w:rPr>
          <w:sz w:val="20"/>
          <w:szCs w:val="20"/>
          <w:lang w:val="id-ID"/>
        </w:rPr>
        <w:t>majelis dan jemaat sangat antusias dalam mengembangkan pengetahuan dan keterampilan mereka untuk berkhotbah. Mereka juga semakin memahami pentingnya hermeneutika untuk menafsirkan Alkitab.</w:t>
      </w:r>
    </w:p>
    <w:p w:rsidR="00121E50" w:rsidRDefault="00121E50">
      <w:pPr>
        <w:pStyle w:val="Heading1"/>
        <w:tabs>
          <w:tab w:val="left" w:pos="749"/>
        </w:tabs>
        <w:ind w:left="0"/>
        <w:jc w:val="both"/>
        <w:rPr>
          <w:sz w:val="20"/>
          <w:szCs w:val="20"/>
        </w:rPr>
      </w:pPr>
    </w:p>
    <w:p w:rsidR="00121E50" w:rsidRDefault="00B05CFD">
      <w:pPr>
        <w:pStyle w:val="Heading1"/>
        <w:tabs>
          <w:tab w:val="left" w:pos="749"/>
        </w:tabs>
        <w:ind w:left="0"/>
        <w:jc w:val="both"/>
        <w:rPr>
          <w:b w:val="0"/>
          <w:sz w:val="20"/>
          <w:szCs w:val="20"/>
        </w:rPr>
      </w:pPr>
      <w:r>
        <w:rPr>
          <w:sz w:val="20"/>
          <w:szCs w:val="20"/>
        </w:rPr>
        <w:t>Kata Kunci</w:t>
      </w:r>
      <w:r>
        <w:rPr>
          <w:b w:val="0"/>
          <w:sz w:val="20"/>
          <w:szCs w:val="20"/>
        </w:rPr>
        <w:t xml:space="preserve">: </w:t>
      </w:r>
      <w:r w:rsidR="00C8523F">
        <w:rPr>
          <w:b w:val="0"/>
          <w:sz w:val="20"/>
          <w:szCs w:val="20"/>
          <w:lang w:val="id-ID"/>
        </w:rPr>
        <w:t>pelatihan, hermeneutika, homiletika</w:t>
      </w:r>
      <w:r>
        <w:rPr>
          <w:b w:val="0"/>
          <w:sz w:val="20"/>
          <w:szCs w:val="20"/>
        </w:rPr>
        <w:t>.</w:t>
      </w:r>
    </w:p>
    <w:p w:rsidR="00121E50" w:rsidRDefault="00121E50"/>
    <w:p w:rsidR="00121E50" w:rsidRDefault="00121E50"/>
    <w:p w:rsidR="00121E50" w:rsidRDefault="00121E50"/>
    <w:p w:rsidR="00121E50" w:rsidRDefault="00B05CFD">
      <w:pPr>
        <w:ind w:right="521"/>
        <w:rPr>
          <w:rFonts w:ascii="Lustria" w:eastAsia="Lustria" w:hAnsi="Lustria" w:cs="Lustria"/>
          <w:color w:val="FF0000"/>
          <w:sz w:val="24"/>
          <w:szCs w:val="24"/>
          <w:u w:val="single"/>
        </w:rPr>
      </w:pPr>
      <w:r>
        <w:rPr>
          <w:rFonts w:ascii="Lustria" w:eastAsia="Lustria" w:hAnsi="Lustria" w:cs="Lustria"/>
          <w:color w:val="FF0000"/>
          <w:sz w:val="24"/>
          <w:szCs w:val="24"/>
          <w:u w:val="single"/>
        </w:rPr>
        <w:t xml:space="preserve">                                                           </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5789767" cy="28575"/>
              <wp:effectExtent b="0" l="0" r="0" t="0"/>
              <wp:wrapNone/>
              <wp:docPr id="16" name=""/>
              <a:graphic>
                <a:graphicData uri="http://schemas.microsoft.com/office/word/2010/wordprocessingShape">
                  <wps:wsp>
                    <wps:cNvCnPr/>
                    <wps:spPr>
                      <a:xfrm>
                        <a:off x="2451117" y="3780000"/>
                        <a:ext cx="5789767" cy="0"/>
                      </a:xfrm>
                      <a:prstGeom prst="straightConnector1">
                        <a:avLst/>
                      </a:prstGeom>
                      <a:noFill/>
                      <a:ln cap="flat" cmpd="sng" w="2857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ve:Fallback>
          <w:r>
            <w:rPr>
              <w:noProof/>
              <w:lang w:val="id-ID" w:bidi="ar-SA"/>
            </w:rPr>
            <w:drawing>
              <wp:anchor distT="0" distB="0" distL="114300" distR="114300" simplePos="0" relativeHeight="251658240" behindDoc="0" locked="0" layoutInCell="1" allowOverlap="1">
                <wp:simplePos x="0" y="0"/>
                <wp:positionH relativeFrom="column">
                  <wp:posOffset>-25399</wp:posOffset>
                </wp:positionH>
                <wp:positionV relativeFrom="paragraph">
                  <wp:posOffset>76200</wp:posOffset>
                </wp:positionV>
                <wp:extent cx="5789767" cy="28575"/>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89767" cy="28575"/>
                        </a:xfrm>
                        <a:prstGeom prst="rect">
                          <a:avLst/>
                        </a:prstGeom>
                        <a:ln/>
                      </pic:spPr>
                    </pic:pic>
                  </a:graphicData>
                </a:graphic>
              </wp:anchor>
            </w:drawing>
          </w:r>
        </ve:Fallback>
      </ve:AlternateContent>
    </w:p>
    <w:p w:rsidR="00121E50" w:rsidRDefault="00B05CFD">
      <w:pPr>
        <w:rPr>
          <w:sz w:val="20"/>
          <w:szCs w:val="20"/>
        </w:rPr>
      </w:pPr>
      <w:r>
        <w:rPr>
          <w:rFonts w:ascii="Arial" w:eastAsia="Arial" w:hAnsi="Arial" w:cs="Arial"/>
          <w:noProof/>
          <w:color w:val="0D355E"/>
          <w:sz w:val="19"/>
          <w:szCs w:val="19"/>
          <w:highlight w:val="white"/>
          <w:lang w:val="id-ID" w:bidi="ar-SA"/>
        </w:rPr>
        <w:drawing>
          <wp:inline distT="0" distB="0" distL="0" distR="0">
            <wp:extent cx="494411" cy="232314"/>
            <wp:effectExtent l="0" t="0" r="0" b="0"/>
            <wp:docPr id="17"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494411" cy="232314"/>
                    </a:xfrm>
                    <a:prstGeom prst="rect">
                      <a:avLst/>
                    </a:prstGeom>
                    <a:ln/>
                  </pic:spPr>
                </pic:pic>
              </a:graphicData>
            </a:graphic>
          </wp:inline>
        </w:drawing>
      </w:r>
      <w:r>
        <w:rPr>
          <w:rFonts w:ascii="Arial" w:eastAsia="Arial" w:hAnsi="Arial" w:cs="Arial"/>
          <w:color w:val="333333"/>
          <w:sz w:val="19"/>
          <w:szCs w:val="19"/>
        </w:rPr>
        <w:t xml:space="preserve"> </w:t>
      </w:r>
      <w:r>
        <w:rPr>
          <w:color w:val="333333"/>
          <w:sz w:val="20"/>
          <w:szCs w:val="20"/>
          <w:highlight w:val="white"/>
        </w:rPr>
        <w:t>Ciptaan disebarluaskan di bawah </w:t>
      </w:r>
      <w:hyperlink r:id="rId11">
        <w:r>
          <w:rPr>
            <w:color w:val="0D355E"/>
            <w:sz w:val="20"/>
            <w:szCs w:val="20"/>
            <w:highlight w:val="white"/>
            <w:u w:val="single"/>
          </w:rPr>
          <w:t>Lisensi Creative Commons Atribusi-BerbagiSerupa 4.0 Internasional</w:t>
        </w:r>
      </w:hyperlink>
      <w:r>
        <w:rPr>
          <w:color w:val="333333"/>
          <w:sz w:val="20"/>
          <w:szCs w:val="20"/>
          <w:highlight w:val="white"/>
        </w:rPr>
        <w:t>.</w:t>
      </w:r>
    </w:p>
    <w:p w:rsidR="00121E50" w:rsidRDefault="00121E50"/>
    <w:p w:rsidR="00121E50" w:rsidRDefault="00121E50"/>
    <w:p w:rsidR="00121E50" w:rsidRDefault="00121E50"/>
    <w:p w:rsidR="00121E50" w:rsidRDefault="00121E50"/>
    <w:p w:rsidR="00121E50" w:rsidRDefault="00121E50"/>
    <w:p w:rsidR="00121E50" w:rsidRDefault="00121E50">
      <w:pPr>
        <w:widowControl/>
        <w:spacing w:after="160" w:line="259" w:lineRule="auto"/>
      </w:pPr>
    </w:p>
    <w:p w:rsidR="00121E50" w:rsidRDefault="00B05CFD">
      <w:pPr>
        <w:widowControl/>
        <w:tabs>
          <w:tab w:val="center" w:pos="4535"/>
        </w:tabs>
        <w:spacing w:after="160" w:line="360" w:lineRule="auto"/>
        <w:rPr>
          <w:b/>
          <w:sz w:val="24"/>
          <w:szCs w:val="24"/>
        </w:rPr>
      </w:pPr>
      <w:r>
        <w:br w:type="page"/>
      </w:r>
      <w:r>
        <w:rPr>
          <w:b/>
          <w:sz w:val="24"/>
          <w:szCs w:val="24"/>
        </w:rPr>
        <w:lastRenderedPageBreak/>
        <w:t>PENDAHULUAN</w:t>
      </w:r>
      <w:r>
        <w:rPr>
          <w:b/>
          <w:sz w:val="24"/>
          <w:szCs w:val="24"/>
        </w:rPr>
        <w:tab/>
      </w:r>
    </w:p>
    <w:p w:rsidR="00F35399" w:rsidRPr="00F35399" w:rsidRDefault="00F35399" w:rsidP="00F35399">
      <w:pPr>
        <w:spacing w:line="360" w:lineRule="auto"/>
        <w:ind w:firstLine="709"/>
        <w:jc w:val="both"/>
        <w:rPr>
          <w:sz w:val="24"/>
          <w:szCs w:val="24"/>
          <w:lang w:val="id-ID"/>
        </w:rPr>
      </w:pPr>
      <w:r w:rsidRPr="00F35399">
        <w:rPr>
          <w:sz w:val="24"/>
          <w:szCs w:val="24"/>
          <w:lang w:val="id-ID"/>
        </w:rPr>
        <w:t>Pengabdian kepada Masyarakat (PkM) merupakan penerapan dari gagasan dan penelitian yang dipunyai oleh dosen. Salah satu contoh penerapan dari PkM adalah pelatihan yang akan dilakukan oleh para dosen di GKKI Purworejo.</w:t>
      </w:r>
      <w:r w:rsidRPr="00F35399">
        <w:rPr>
          <w:sz w:val="24"/>
          <w:szCs w:val="24"/>
        </w:rPr>
        <w:t xml:space="preserve"> </w:t>
      </w:r>
      <w:r w:rsidRPr="00F35399">
        <w:rPr>
          <w:sz w:val="24"/>
          <w:szCs w:val="24"/>
          <w:lang w:val="id-ID"/>
        </w:rPr>
        <w:t>Kegiatan PkM ini ber</w:t>
      </w:r>
      <w:r w:rsidRPr="00F35399">
        <w:rPr>
          <w:sz w:val="24"/>
          <w:szCs w:val="24"/>
        </w:rPr>
        <w:t xml:space="preserve">tujuan untuk </w:t>
      </w:r>
      <w:r w:rsidRPr="00F35399">
        <w:rPr>
          <w:sz w:val="24"/>
          <w:szCs w:val="24"/>
          <w:lang w:val="id-ID"/>
        </w:rPr>
        <w:t>meningkatkan kualitas</w:t>
      </w:r>
      <w:r w:rsidRPr="00F35399">
        <w:rPr>
          <w:sz w:val="24"/>
          <w:szCs w:val="24"/>
        </w:rPr>
        <w:t xml:space="preserve"> sumber daya manusia</w:t>
      </w:r>
      <w:r w:rsidRPr="00F35399">
        <w:rPr>
          <w:sz w:val="24"/>
          <w:szCs w:val="24"/>
          <w:lang w:val="id-ID"/>
        </w:rPr>
        <w:t xml:space="preserve"> yang ada di STT SAPPI dan juga bentuk </w:t>
      </w:r>
      <w:r w:rsidRPr="00F35399">
        <w:rPr>
          <w:sz w:val="24"/>
          <w:szCs w:val="24"/>
        </w:rPr>
        <w:t xml:space="preserve">peluasan wacana pengetahuan atau keterampilan sebagai realisasi </w:t>
      </w:r>
      <w:r w:rsidRPr="00F35399">
        <w:rPr>
          <w:sz w:val="24"/>
          <w:szCs w:val="24"/>
          <w:lang w:val="id-ID"/>
        </w:rPr>
        <w:t xml:space="preserve">tri </w:t>
      </w:r>
      <w:r w:rsidRPr="00F35399">
        <w:rPr>
          <w:sz w:val="24"/>
          <w:szCs w:val="24"/>
        </w:rPr>
        <w:t xml:space="preserve">dharma </w:t>
      </w:r>
      <w:r w:rsidRPr="00F35399">
        <w:rPr>
          <w:sz w:val="24"/>
          <w:szCs w:val="24"/>
          <w:lang w:val="id-ID"/>
        </w:rPr>
        <w:t>Perguruan Tinggi.</w:t>
      </w:r>
    </w:p>
    <w:p w:rsidR="00F35399" w:rsidRPr="00F35399" w:rsidRDefault="00F35399" w:rsidP="00F35399">
      <w:pPr>
        <w:spacing w:line="360" w:lineRule="auto"/>
        <w:ind w:firstLine="709"/>
        <w:jc w:val="both"/>
        <w:rPr>
          <w:sz w:val="24"/>
          <w:szCs w:val="24"/>
          <w:lang w:val="id-ID"/>
        </w:rPr>
      </w:pPr>
      <w:r w:rsidRPr="00F35399">
        <w:rPr>
          <w:sz w:val="24"/>
          <w:szCs w:val="24"/>
          <w:lang w:val="id-ID"/>
        </w:rPr>
        <w:t>Pelatihan yang dilaksanakan di GKKI Purworejo mengenai hermeneutik dan homiletika. Hermeneutik  merupakan alat/metode agar pembaca/pengkhotbah dapat membaca Alkitab dengan benar kemudian menafsirkan isi teks dengan benar hingga mencari penerapannya bagi pendengar saat ini. Homiletika juga penting bagi para pengkhotbah untuk mendukung dan memperlengkapi penyampaian Firman Tuhan yang telah dipersiapkan</w:t>
      </w:r>
      <w:r w:rsidR="00E50778">
        <w:rPr>
          <w:sz w:val="24"/>
          <w:szCs w:val="24"/>
          <w:lang w:val="id-ID"/>
        </w:rPr>
        <w:t xml:space="preserve"> dan mengundang</w:t>
      </w:r>
      <w:r w:rsidR="0010367C">
        <w:rPr>
          <w:sz w:val="24"/>
          <w:szCs w:val="24"/>
          <w:lang w:val="id-ID"/>
        </w:rPr>
        <w:t xml:space="preserve"> umat Allah dalam mengeksplorasi teks Alkitab</w:t>
      </w:r>
      <w:r w:rsidRPr="00F35399">
        <w:rPr>
          <w:sz w:val="24"/>
          <w:szCs w:val="24"/>
          <w:lang w:val="id-ID"/>
        </w:rPr>
        <w:t>.</w:t>
      </w:r>
      <w:r w:rsidR="0010367C">
        <w:rPr>
          <w:rStyle w:val="FootnoteReference"/>
          <w:sz w:val="24"/>
          <w:szCs w:val="24"/>
          <w:lang w:val="id-ID"/>
        </w:rPr>
        <w:footnoteReference w:id="2"/>
      </w:r>
      <w:r w:rsidRPr="00F35399">
        <w:rPr>
          <w:sz w:val="24"/>
          <w:szCs w:val="24"/>
          <w:lang w:val="id-ID"/>
        </w:rPr>
        <w:t xml:space="preserve"> </w:t>
      </w:r>
    </w:p>
    <w:p w:rsidR="00F35399" w:rsidRDefault="00F35399" w:rsidP="00F35399">
      <w:pPr>
        <w:spacing w:line="360" w:lineRule="auto"/>
        <w:ind w:firstLine="709"/>
        <w:jc w:val="both"/>
        <w:rPr>
          <w:sz w:val="24"/>
          <w:szCs w:val="24"/>
          <w:lang w:val="id-ID"/>
        </w:rPr>
      </w:pPr>
      <w:r w:rsidRPr="00F35399">
        <w:rPr>
          <w:sz w:val="24"/>
          <w:szCs w:val="24"/>
          <w:lang w:val="id-ID"/>
        </w:rPr>
        <w:t>Pembaca Alkitab tentu tidak boleh menyimpulkan bahwa metode penafsiran tidak diperlukan untuk pelajar Alkitab. Memang benar bahwa di Gereja mula-mula ilmu eksegesis tidak dikembangkan, tetapi harus diingat bahwa apa terdapat jurang historis, budaya, bahasa antara masa kini dan masa penulisan Alkitab sehingga tidak jarang ditemui bagian sulit dari Kitab Suci untuk dipahami. Oleh karena itu, prinsip-prinsip hermeneutika mulai berkembang. Bahkan pada zaman Agustinus mereka dikumpulkan menjadi satu buku, sehingga mereka dapat diketahui dan dipraktekkan tanpa banyak kesulitan.</w:t>
      </w:r>
      <w:r w:rsidRPr="00F35399">
        <w:rPr>
          <w:rStyle w:val="FootnoteReference"/>
          <w:sz w:val="24"/>
          <w:szCs w:val="24"/>
          <w:lang w:val="id-ID"/>
        </w:rPr>
        <w:footnoteReference w:id="3"/>
      </w:r>
      <w:r w:rsidRPr="00F35399">
        <w:rPr>
          <w:sz w:val="24"/>
          <w:szCs w:val="24"/>
          <w:lang w:val="id-ID"/>
        </w:rPr>
        <w:t xml:space="preserve"> Tidak dapat dikatakan bahwa keragaman hasil penafsiran dar</w:t>
      </w:r>
      <w:r w:rsidR="00224E22">
        <w:rPr>
          <w:sz w:val="24"/>
          <w:szCs w:val="24"/>
          <w:lang w:val="id-ID"/>
        </w:rPr>
        <w:t>i</w:t>
      </w:r>
      <w:r w:rsidRPr="00F35399">
        <w:rPr>
          <w:sz w:val="24"/>
          <w:szCs w:val="24"/>
          <w:lang w:val="id-ID"/>
        </w:rPr>
        <w:t xml:space="preserve"> para pembaca yang menguasai prinsip-prinsip penafsiran ilmiah menunjukkan tidak bergunanya hermeneutika dalam menjelaskan Kitab Suci. </w:t>
      </w:r>
    </w:p>
    <w:p w:rsidR="00224E22" w:rsidRPr="00F35399" w:rsidRDefault="00224E22" w:rsidP="00F35399">
      <w:pPr>
        <w:spacing w:line="360" w:lineRule="auto"/>
        <w:ind w:firstLine="709"/>
        <w:jc w:val="both"/>
        <w:rPr>
          <w:sz w:val="24"/>
          <w:szCs w:val="24"/>
          <w:lang w:val="id-ID"/>
        </w:rPr>
      </w:pPr>
      <w:r w:rsidRPr="00224E22">
        <w:rPr>
          <w:sz w:val="24"/>
          <w:szCs w:val="24"/>
          <w:lang w:val="id-ID"/>
        </w:rPr>
        <w:t>R. C. Sproul mengamati bahwa para teolog sedang berkonflik tentang penafsiran A</w:t>
      </w:r>
      <w:r>
        <w:rPr>
          <w:sz w:val="24"/>
          <w:szCs w:val="24"/>
          <w:lang w:val="id-ID"/>
        </w:rPr>
        <w:t>lkitab karena</w:t>
      </w:r>
      <w:r w:rsidRPr="00224E22">
        <w:rPr>
          <w:sz w:val="24"/>
          <w:szCs w:val="24"/>
          <w:lang w:val="id-ID"/>
        </w:rPr>
        <w:t xml:space="preserve"> keragaman </w:t>
      </w:r>
      <w:r>
        <w:rPr>
          <w:sz w:val="24"/>
          <w:szCs w:val="24"/>
          <w:lang w:val="id-ID"/>
        </w:rPr>
        <w:t>penafsiran</w:t>
      </w:r>
      <w:r w:rsidRPr="00224E22">
        <w:rPr>
          <w:sz w:val="24"/>
          <w:szCs w:val="24"/>
          <w:lang w:val="id-ID"/>
        </w:rPr>
        <w:t xml:space="preserve"> Alkitab</w:t>
      </w:r>
      <w:r>
        <w:rPr>
          <w:sz w:val="24"/>
          <w:szCs w:val="24"/>
          <w:lang w:val="id-ID"/>
        </w:rPr>
        <w:t>.</w:t>
      </w:r>
      <w:r>
        <w:rPr>
          <w:rStyle w:val="FootnoteReference"/>
          <w:sz w:val="24"/>
          <w:szCs w:val="24"/>
          <w:lang w:val="id-ID"/>
        </w:rPr>
        <w:footnoteReference w:id="4"/>
      </w:r>
      <w:r>
        <w:rPr>
          <w:sz w:val="24"/>
          <w:szCs w:val="24"/>
          <w:lang w:val="id-ID"/>
        </w:rPr>
        <w:t xml:space="preserve"> Keragaman penafsiran seperti</w:t>
      </w:r>
      <w:r w:rsidRPr="00224E22">
        <w:rPr>
          <w:sz w:val="24"/>
          <w:szCs w:val="24"/>
          <w:lang w:val="id-ID"/>
        </w:rPr>
        <w:t xml:space="preserve"> sebuah rak yang penuh dengan buku-buku </w:t>
      </w:r>
      <w:r>
        <w:rPr>
          <w:sz w:val="24"/>
          <w:szCs w:val="24"/>
          <w:lang w:val="id-ID"/>
        </w:rPr>
        <w:t>teologi</w:t>
      </w:r>
      <w:r w:rsidRPr="00224E22">
        <w:rPr>
          <w:sz w:val="24"/>
          <w:szCs w:val="24"/>
          <w:lang w:val="id-ID"/>
        </w:rPr>
        <w:t xml:space="preserve"> yang men</w:t>
      </w:r>
      <w:r>
        <w:rPr>
          <w:sz w:val="24"/>
          <w:szCs w:val="24"/>
          <w:lang w:val="id-ID"/>
        </w:rPr>
        <w:t>jelaskan</w:t>
      </w:r>
      <w:r w:rsidRPr="00224E22">
        <w:rPr>
          <w:sz w:val="24"/>
          <w:szCs w:val="24"/>
          <w:lang w:val="id-ID"/>
        </w:rPr>
        <w:t xml:space="preserve"> hal-hal yang berbeda, tetapi semuanya mengklaim sebagai interpretasi yang setia dari Alkitab. </w:t>
      </w:r>
      <w:r>
        <w:rPr>
          <w:sz w:val="24"/>
          <w:szCs w:val="24"/>
          <w:lang w:val="id-ID"/>
        </w:rPr>
        <w:t>Dengan keragaman penafsiran,</w:t>
      </w:r>
      <w:r w:rsidRPr="00224E22">
        <w:rPr>
          <w:sz w:val="24"/>
          <w:szCs w:val="24"/>
          <w:lang w:val="id-ID"/>
        </w:rPr>
        <w:t xml:space="preserve"> memungkinkan adanya keterbukaan </w:t>
      </w:r>
      <w:r>
        <w:rPr>
          <w:sz w:val="24"/>
          <w:szCs w:val="24"/>
          <w:lang w:val="id-ID"/>
        </w:rPr>
        <w:t>makna-makna baru</w:t>
      </w:r>
      <w:r w:rsidRPr="00224E22">
        <w:rPr>
          <w:sz w:val="24"/>
          <w:szCs w:val="24"/>
          <w:lang w:val="id-ID"/>
        </w:rPr>
        <w:t xml:space="preserve"> selama tetap dalam tradisi teologis</w:t>
      </w:r>
      <w:r>
        <w:rPr>
          <w:sz w:val="24"/>
          <w:szCs w:val="24"/>
          <w:lang w:val="id-ID"/>
        </w:rPr>
        <w:t xml:space="preserve"> Kekristenan</w:t>
      </w:r>
      <w:r w:rsidRPr="00224E22">
        <w:rPr>
          <w:sz w:val="24"/>
          <w:szCs w:val="24"/>
          <w:lang w:val="id-ID"/>
        </w:rPr>
        <w:t xml:space="preserve">. Menurut Roy B. Zuck, </w:t>
      </w:r>
      <w:r w:rsidR="00F667D8">
        <w:rPr>
          <w:sz w:val="24"/>
          <w:szCs w:val="24"/>
          <w:lang w:val="id-ID"/>
        </w:rPr>
        <w:t>tradisi teologi</w:t>
      </w:r>
      <w:r w:rsidRPr="00224E22">
        <w:rPr>
          <w:sz w:val="24"/>
          <w:szCs w:val="24"/>
          <w:lang w:val="id-ID"/>
        </w:rPr>
        <w:t xml:space="preserve"> tidak mengizinkan penafsiran yang </w:t>
      </w:r>
      <w:r w:rsidR="00F667D8">
        <w:rPr>
          <w:sz w:val="24"/>
          <w:szCs w:val="24"/>
          <w:lang w:val="id-ID"/>
        </w:rPr>
        <w:lastRenderedPageBreak/>
        <w:t>sembarangan</w:t>
      </w:r>
      <w:r w:rsidRPr="00224E22">
        <w:rPr>
          <w:sz w:val="24"/>
          <w:szCs w:val="24"/>
          <w:lang w:val="id-ID"/>
        </w:rPr>
        <w:t xml:space="preserve"> </w:t>
      </w:r>
      <w:r w:rsidR="00F667D8">
        <w:rPr>
          <w:sz w:val="24"/>
          <w:szCs w:val="24"/>
          <w:lang w:val="id-ID"/>
        </w:rPr>
        <w:t xml:space="preserve">dalam membaca </w:t>
      </w:r>
      <w:r w:rsidRPr="00224E22">
        <w:rPr>
          <w:sz w:val="24"/>
          <w:szCs w:val="24"/>
          <w:lang w:val="id-ID"/>
        </w:rPr>
        <w:t>Alkitab.</w:t>
      </w:r>
      <w:r>
        <w:rPr>
          <w:rStyle w:val="FootnoteReference"/>
          <w:sz w:val="24"/>
          <w:szCs w:val="24"/>
          <w:lang w:val="id-ID"/>
        </w:rPr>
        <w:footnoteReference w:id="5"/>
      </w:r>
    </w:p>
    <w:p w:rsidR="00F667D8" w:rsidRDefault="00F667D8" w:rsidP="00F667D8">
      <w:pPr>
        <w:spacing w:line="360" w:lineRule="auto"/>
        <w:ind w:firstLine="709"/>
        <w:jc w:val="both"/>
        <w:rPr>
          <w:sz w:val="24"/>
          <w:szCs w:val="24"/>
          <w:lang w:val="id-ID"/>
        </w:rPr>
      </w:pPr>
      <w:r>
        <w:rPr>
          <w:sz w:val="24"/>
          <w:szCs w:val="24"/>
          <w:lang w:val="id-ID"/>
        </w:rPr>
        <w:t xml:space="preserve">Oleh karena itu, </w:t>
      </w:r>
      <w:r w:rsidRPr="00F667D8">
        <w:rPr>
          <w:sz w:val="24"/>
          <w:szCs w:val="24"/>
          <w:lang w:val="id-ID"/>
        </w:rPr>
        <w:t>mengerti isi Alkitab tidaklah selalu mudah karena ada gap komunikasi yang besar sehingga perlu dijembatani.</w:t>
      </w:r>
      <w:r>
        <w:rPr>
          <w:sz w:val="24"/>
          <w:szCs w:val="24"/>
          <w:lang w:val="id-ID"/>
        </w:rPr>
        <w:t xml:space="preserve"> </w:t>
      </w:r>
      <w:r w:rsidRPr="00F667D8">
        <w:rPr>
          <w:sz w:val="24"/>
          <w:szCs w:val="24"/>
          <w:lang w:val="id-ID"/>
        </w:rPr>
        <w:t xml:space="preserve">Allah menyampaikan FirmanNya kepada seluruh manusia sepanjang sejarah melalui para penulis Alkitab. Firman Tuhan ditulis ribuan dan ratusan tahun </w:t>
      </w:r>
      <w:r>
        <w:rPr>
          <w:sz w:val="24"/>
          <w:szCs w:val="24"/>
          <w:lang w:val="id-ID"/>
        </w:rPr>
        <w:t>yang lalu</w:t>
      </w:r>
      <w:r w:rsidRPr="00F667D8">
        <w:rPr>
          <w:sz w:val="24"/>
          <w:szCs w:val="24"/>
          <w:lang w:val="id-ID"/>
        </w:rPr>
        <w:t>, oleh banyak penulis Alkitab yang hidup pada jaman yang berbeda- beda dan dari latar belakang yang berbeda-beda, dan ditulis dalam bahasa</w:t>
      </w:r>
      <w:r>
        <w:rPr>
          <w:sz w:val="24"/>
          <w:szCs w:val="24"/>
          <w:lang w:val="id-ID"/>
        </w:rPr>
        <w:t xml:space="preserve"> yang berbeda</w:t>
      </w:r>
      <w:r w:rsidRPr="00F667D8">
        <w:rPr>
          <w:sz w:val="24"/>
          <w:szCs w:val="24"/>
          <w:lang w:val="id-ID"/>
        </w:rPr>
        <w:t>. Bagaimana cara orang percaya abad ini mengerti Firman Tuhan agar Firman itu diterima sama seperti ketika para penulis Alkitab mula-mula menerimaNya? Inilah tugas Hermeneutik!</w:t>
      </w:r>
    </w:p>
    <w:p w:rsidR="00F367BE" w:rsidRDefault="007B496D" w:rsidP="00F367BE">
      <w:pPr>
        <w:spacing w:line="360" w:lineRule="auto"/>
        <w:ind w:firstLine="720"/>
        <w:jc w:val="both"/>
        <w:rPr>
          <w:color w:val="000000"/>
          <w:sz w:val="24"/>
          <w:szCs w:val="24"/>
        </w:rPr>
      </w:pPr>
      <w:r>
        <w:rPr>
          <w:sz w:val="24"/>
          <w:szCs w:val="24"/>
          <w:lang w:val="id-ID"/>
        </w:rPr>
        <w:t>Homiletika juga penting untuk dipelajari, setidaknya ada tiga alasan: pertama, karena khotbah adalah bagian penting dalam ibadah, kedua, khobah merupakan sarana pembinaan iman</w:t>
      </w:r>
      <w:r w:rsidR="00F367BE">
        <w:rPr>
          <w:rStyle w:val="FootnoteReference"/>
          <w:sz w:val="24"/>
          <w:szCs w:val="24"/>
          <w:lang w:val="id-ID"/>
        </w:rPr>
        <w:footnoteReference w:id="6"/>
      </w:r>
      <w:r>
        <w:rPr>
          <w:sz w:val="24"/>
          <w:szCs w:val="24"/>
          <w:lang w:val="id-ID"/>
        </w:rPr>
        <w:t>, ketiga, khotbah sebagai sarana penginjilan.</w:t>
      </w:r>
      <w:r>
        <w:rPr>
          <w:rStyle w:val="FootnoteReference"/>
          <w:sz w:val="24"/>
          <w:szCs w:val="24"/>
          <w:lang w:val="id-ID"/>
        </w:rPr>
        <w:footnoteReference w:id="7"/>
      </w:r>
      <w:r>
        <w:rPr>
          <w:sz w:val="24"/>
          <w:szCs w:val="24"/>
          <w:lang w:val="id-ID"/>
        </w:rPr>
        <w:t xml:space="preserve"> </w:t>
      </w:r>
      <w:r w:rsidR="00F367BE">
        <w:rPr>
          <w:color w:val="000000"/>
          <w:sz w:val="24"/>
          <w:szCs w:val="24"/>
        </w:rPr>
        <w:t>Penyampaian Firman Allah atau kotbah merupakan bagian penting dalam pembinaan iman umat Allah.</w:t>
      </w:r>
      <w:r w:rsidR="00F367BE">
        <w:rPr>
          <w:rStyle w:val="FootnoteReference"/>
          <w:color w:val="000000"/>
          <w:sz w:val="24"/>
          <w:szCs w:val="24"/>
        </w:rPr>
        <w:footnoteReference w:id="8"/>
      </w:r>
      <w:r w:rsidR="00F367BE">
        <w:rPr>
          <w:color w:val="000000"/>
          <w:sz w:val="24"/>
          <w:szCs w:val="24"/>
        </w:rPr>
        <w:t>Salah satu unsur penting dalam kotbah adalah bagaimana menafsirkan Alkitab atau hermeneutika.</w:t>
      </w:r>
      <w:r w:rsidR="00F367BE">
        <w:rPr>
          <w:rStyle w:val="FootnoteReference"/>
          <w:color w:val="000000"/>
          <w:sz w:val="24"/>
          <w:szCs w:val="24"/>
        </w:rPr>
        <w:footnoteReference w:id="9"/>
      </w:r>
      <w:r w:rsidR="00F367BE">
        <w:rPr>
          <w:color w:val="000000"/>
          <w:sz w:val="24"/>
          <w:szCs w:val="24"/>
        </w:rPr>
        <w:t xml:space="preserve"> Apabila salah dalam menafsirkan Alkitab, maka kotbah</w:t>
      </w:r>
      <w:r w:rsidR="00F367BE">
        <w:rPr>
          <w:color w:val="000000"/>
          <w:sz w:val="24"/>
          <w:szCs w:val="24"/>
          <w:lang w:val="id-ID"/>
        </w:rPr>
        <w:t xml:space="preserve"> justru</w:t>
      </w:r>
      <w:r w:rsidR="00F367BE">
        <w:rPr>
          <w:color w:val="000000"/>
          <w:sz w:val="24"/>
          <w:szCs w:val="24"/>
        </w:rPr>
        <w:t xml:space="preserve"> akan merusak iman jemaat.</w:t>
      </w:r>
      <w:r w:rsidR="00F367BE">
        <w:rPr>
          <w:rStyle w:val="FootnoteReference"/>
          <w:color w:val="000000"/>
          <w:sz w:val="24"/>
          <w:szCs w:val="24"/>
        </w:rPr>
        <w:footnoteReference w:id="10"/>
      </w:r>
      <w:r w:rsidR="00F367BE">
        <w:rPr>
          <w:color w:val="000000"/>
          <w:sz w:val="24"/>
          <w:szCs w:val="24"/>
          <w:lang w:val="id-ID"/>
        </w:rPr>
        <w:t xml:space="preserve"> </w:t>
      </w:r>
      <w:r w:rsidR="00F367BE">
        <w:rPr>
          <w:color w:val="000000"/>
          <w:sz w:val="24"/>
          <w:szCs w:val="24"/>
        </w:rPr>
        <w:t>Oleh sebab itu, hermeneutika dan homelitika (kotbah) sangat penting diajarkan kepada para pengkotbah</w:t>
      </w:r>
      <w:r w:rsidR="00F367BE">
        <w:rPr>
          <w:color w:val="000000"/>
          <w:sz w:val="24"/>
          <w:szCs w:val="24"/>
          <w:lang w:val="id-ID"/>
        </w:rPr>
        <w:t>,</w:t>
      </w:r>
      <w:r w:rsidR="00F367BE">
        <w:rPr>
          <w:rStyle w:val="FootnoteReference"/>
          <w:color w:val="000000"/>
          <w:sz w:val="24"/>
          <w:szCs w:val="24"/>
        </w:rPr>
        <w:footnoteReference w:id="11"/>
      </w:r>
      <w:r w:rsidR="00F367BE">
        <w:rPr>
          <w:color w:val="000000"/>
          <w:sz w:val="24"/>
          <w:szCs w:val="24"/>
        </w:rPr>
        <w:t xml:space="preserve"> </w:t>
      </w:r>
      <w:r w:rsidR="00F367BE">
        <w:rPr>
          <w:color w:val="000000"/>
          <w:sz w:val="24"/>
          <w:szCs w:val="24"/>
          <w:lang w:val="id-ID"/>
        </w:rPr>
        <w:t>s</w:t>
      </w:r>
      <w:r w:rsidR="00F367BE">
        <w:rPr>
          <w:color w:val="000000"/>
          <w:sz w:val="24"/>
          <w:szCs w:val="24"/>
        </w:rPr>
        <w:t>ecara khusus bagi pengurus jemaat, majelis atau yang berkaitan dengannya.</w:t>
      </w:r>
      <w:r w:rsidR="00F367BE">
        <w:rPr>
          <w:rStyle w:val="FootnoteReference"/>
          <w:color w:val="000000"/>
          <w:sz w:val="24"/>
          <w:szCs w:val="24"/>
        </w:rPr>
        <w:footnoteReference w:id="12"/>
      </w:r>
    </w:p>
    <w:p w:rsidR="00F35399" w:rsidRPr="00F35399" w:rsidRDefault="00F35399" w:rsidP="00F35399">
      <w:pPr>
        <w:spacing w:line="360" w:lineRule="auto"/>
        <w:ind w:firstLine="709"/>
        <w:jc w:val="both"/>
        <w:rPr>
          <w:sz w:val="24"/>
          <w:szCs w:val="24"/>
          <w:lang w:val="id-ID"/>
        </w:rPr>
      </w:pPr>
      <w:r w:rsidRPr="00F35399">
        <w:rPr>
          <w:sz w:val="24"/>
          <w:szCs w:val="24"/>
          <w:lang w:val="id-ID"/>
        </w:rPr>
        <w:t>Dengan pelatihan yang dilaksanakan di GKKI</w:t>
      </w:r>
      <w:r w:rsidR="007B496D">
        <w:rPr>
          <w:sz w:val="24"/>
          <w:szCs w:val="24"/>
          <w:lang w:val="id-ID"/>
        </w:rPr>
        <w:t xml:space="preserve"> (Gereja Kristen Kerasulan Indonesia) Jemaat</w:t>
      </w:r>
      <w:r w:rsidRPr="00F35399">
        <w:rPr>
          <w:sz w:val="24"/>
          <w:szCs w:val="24"/>
          <w:lang w:val="id-ID"/>
        </w:rPr>
        <w:t xml:space="preserve"> Purworejo diharapkan para majelis </w:t>
      </w:r>
      <w:r w:rsidR="007B496D">
        <w:rPr>
          <w:sz w:val="24"/>
          <w:szCs w:val="24"/>
          <w:lang w:val="id-ID"/>
        </w:rPr>
        <w:t xml:space="preserve">dan </w:t>
      </w:r>
      <w:r w:rsidRPr="00F35399">
        <w:rPr>
          <w:sz w:val="24"/>
          <w:szCs w:val="24"/>
          <w:lang w:val="id-ID"/>
        </w:rPr>
        <w:t>jemaat dapat lebih baik lagi dalam mempersiapkan dan menyampaikan khotbah kepada jemaat. Dengan demikian pengkhotbah lebih bertanggung jawab dan jemaat dapat lebih mengenal Firman Tuhan dengan benar.</w:t>
      </w:r>
    </w:p>
    <w:p w:rsidR="00F35399" w:rsidRPr="00F35399" w:rsidRDefault="00F35399" w:rsidP="00F35399">
      <w:pPr>
        <w:spacing w:line="360" w:lineRule="auto"/>
        <w:rPr>
          <w:rFonts w:asciiTheme="majorHAnsi" w:hAnsiTheme="majorHAnsi"/>
          <w:sz w:val="24"/>
          <w:szCs w:val="24"/>
        </w:rPr>
      </w:pPr>
    </w:p>
    <w:p w:rsidR="00121E50" w:rsidRDefault="00B05CFD">
      <w:pPr>
        <w:spacing w:line="360" w:lineRule="auto"/>
        <w:jc w:val="both"/>
        <w:rPr>
          <w:b/>
          <w:color w:val="000000"/>
          <w:sz w:val="24"/>
          <w:szCs w:val="24"/>
        </w:rPr>
      </w:pPr>
      <w:r>
        <w:rPr>
          <w:b/>
          <w:sz w:val="24"/>
          <w:szCs w:val="24"/>
        </w:rPr>
        <w:lastRenderedPageBreak/>
        <w:t xml:space="preserve">METODE PENELITIAN </w:t>
      </w:r>
    </w:p>
    <w:p w:rsidR="00F35399" w:rsidRDefault="00F35399" w:rsidP="00F35399">
      <w:pPr>
        <w:pStyle w:val="ListParagraph"/>
        <w:spacing w:line="360" w:lineRule="auto"/>
        <w:ind w:left="0" w:firstLine="709"/>
        <w:jc w:val="both"/>
        <w:rPr>
          <w:rFonts w:ascii="Times New Roman" w:hAnsi="Times New Roman" w:cs="Times New Roman"/>
          <w:bCs/>
          <w:sz w:val="24"/>
          <w:szCs w:val="24"/>
          <w:lang w:val="id-ID"/>
        </w:rPr>
      </w:pPr>
      <w:r w:rsidRPr="00963E3A">
        <w:rPr>
          <w:rFonts w:ascii="Times New Roman" w:hAnsi="Times New Roman" w:cs="Times New Roman"/>
          <w:bCs/>
          <w:sz w:val="24"/>
          <w:szCs w:val="24"/>
          <w:lang w:val="id-ID"/>
        </w:rPr>
        <w:t>Metode yang digunakan adalah dengan mendatangi l</w:t>
      </w:r>
      <w:r>
        <w:rPr>
          <w:rFonts w:ascii="Times New Roman" w:hAnsi="Times New Roman" w:cs="Times New Roman"/>
          <w:bCs/>
          <w:sz w:val="24"/>
          <w:szCs w:val="24"/>
          <w:lang w:val="id-ID"/>
        </w:rPr>
        <w:t>okasi di GKKI Purworejo dan</w:t>
      </w:r>
      <w:r w:rsidRPr="00963E3A">
        <w:rPr>
          <w:rFonts w:ascii="Times New Roman" w:hAnsi="Times New Roman" w:cs="Times New Roman"/>
          <w:bCs/>
          <w:sz w:val="24"/>
          <w:szCs w:val="24"/>
          <w:lang w:val="id-ID"/>
        </w:rPr>
        <w:t xml:space="preserve"> melaksanakan pelatihan selama </w:t>
      </w:r>
      <w:r>
        <w:rPr>
          <w:rFonts w:ascii="Times New Roman" w:hAnsi="Times New Roman" w:cs="Times New Roman"/>
          <w:bCs/>
          <w:sz w:val="24"/>
          <w:szCs w:val="24"/>
          <w:lang w:val="id-ID"/>
        </w:rPr>
        <w:t>2 hari dan</w:t>
      </w:r>
      <w:r w:rsidRPr="00963E3A">
        <w:rPr>
          <w:rFonts w:ascii="Times New Roman" w:hAnsi="Times New Roman" w:cs="Times New Roman"/>
          <w:bCs/>
          <w:sz w:val="24"/>
          <w:szCs w:val="24"/>
          <w:lang w:val="id-ID"/>
        </w:rPr>
        <w:t xml:space="preserve"> 4 kali pertemuan.</w:t>
      </w:r>
      <w:r>
        <w:rPr>
          <w:rFonts w:ascii="Times New Roman" w:hAnsi="Times New Roman" w:cs="Times New Roman"/>
          <w:bCs/>
          <w:sz w:val="24"/>
          <w:szCs w:val="24"/>
          <w:lang w:val="id-ID"/>
        </w:rPr>
        <w:t xml:space="preserve"> Waktu pelaksanaan pada hari Sabtu dan Minggu di tanggal 2 dan 3 April 2022. </w:t>
      </w:r>
    </w:p>
    <w:p w:rsidR="00D4729F" w:rsidRPr="00D4729F" w:rsidRDefault="00D4729F" w:rsidP="00D4729F">
      <w:pPr>
        <w:pBdr>
          <w:top w:val="nil"/>
          <w:left w:val="nil"/>
          <w:bottom w:val="nil"/>
          <w:right w:val="nil"/>
          <w:between w:val="nil"/>
        </w:pBdr>
        <w:spacing w:before="120" w:line="360" w:lineRule="auto"/>
        <w:jc w:val="center"/>
        <w:rPr>
          <w:color w:val="000000"/>
          <w:sz w:val="20"/>
          <w:szCs w:val="20"/>
          <w:lang w:val="id-ID"/>
        </w:rPr>
      </w:pPr>
      <w:r>
        <w:rPr>
          <w:color w:val="000000"/>
          <w:sz w:val="20"/>
          <w:szCs w:val="20"/>
        </w:rPr>
        <w:t xml:space="preserve">Tabel 1. </w:t>
      </w:r>
      <w:r>
        <w:rPr>
          <w:color w:val="000000"/>
          <w:sz w:val="20"/>
          <w:szCs w:val="20"/>
          <w:lang w:val="id-ID"/>
        </w:rPr>
        <w:t>Jadwal Kegiatan PkM</w:t>
      </w:r>
    </w:p>
    <w:tbl>
      <w:tblPr>
        <w:tblStyle w:val="TableGrid"/>
        <w:tblW w:w="0" w:type="auto"/>
        <w:tblInd w:w="108" w:type="dxa"/>
        <w:tblLook w:val="04A0"/>
      </w:tblPr>
      <w:tblGrid>
        <w:gridCol w:w="2936"/>
        <w:gridCol w:w="1417"/>
        <w:gridCol w:w="4719"/>
      </w:tblGrid>
      <w:tr w:rsidR="00F35399" w:rsidRPr="00F35399" w:rsidTr="00A83897">
        <w:tc>
          <w:tcPr>
            <w:tcW w:w="2936" w:type="dxa"/>
          </w:tcPr>
          <w:p w:rsidR="00F35399" w:rsidRPr="00D4729F" w:rsidRDefault="00F35399" w:rsidP="00D4729F">
            <w:pPr>
              <w:widowControl w:val="0"/>
              <w:adjustRightInd w:val="0"/>
              <w:spacing w:line="240" w:lineRule="auto"/>
              <w:jc w:val="center"/>
              <w:rPr>
                <w:rFonts w:ascii="Times New Roman" w:eastAsia="Calibri" w:hAnsi="Times New Roman" w:cs="Times New Roman"/>
                <w:b/>
                <w:bCs/>
                <w:lang w:val="id-ID"/>
              </w:rPr>
            </w:pPr>
            <w:r w:rsidRPr="00D4729F">
              <w:rPr>
                <w:rFonts w:ascii="Times New Roman" w:eastAsia="Calibri" w:hAnsi="Times New Roman" w:cs="Times New Roman"/>
                <w:b/>
                <w:bCs/>
                <w:lang w:val="id-ID"/>
              </w:rPr>
              <w:t>Hari dan Tanggal</w:t>
            </w:r>
          </w:p>
        </w:tc>
        <w:tc>
          <w:tcPr>
            <w:tcW w:w="1417" w:type="dxa"/>
          </w:tcPr>
          <w:p w:rsidR="00F35399" w:rsidRPr="00D4729F" w:rsidRDefault="00F35399" w:rsidP="00D4729F">
            <w:pPr>
              <w:widowControl w:val="0"/>
              <w:adjustRightInd w:val="0"/>
              <w:spacing w:line="240" w:lineRule="auto"/>
              <w:jc w:val="center"/>
              <w:rPr>
                <w:rFonts w:ascii="Times New Roman" w:eastAsia="Calibri" w:hAnsi="Times New Roman" w:cs="Times New Roman"/>
                <w:b/>
                <w:bCs/>
                <w:lang w:val="id-ID"/>
              </w:rPr>
            </w:pPr>
            <w:r w:rsidRPr="00D4729F">
              <w:rPr>
                <w:rFonts w:ascii="Times New Roman" w:eastAsia="Calibri" w:hAnsi="Times New Roman" w:cs="Times New Roman"/>
                <w:b/>
                <w:bCs/>
                <w:lang w:val="id-ID"/>
              </w:rPr>
              <w:t>Pukul</w:t>
            </w:r>
          </w:p>
        </w:tc>
        <w:tc>
          <w:tcPr>
            <w:tcW w:w="4719" w:type="dxa"/>
          </w:tcPr>
          <w:p w:rsidR="00F35399" w:rsidRPr="00D4729F" w:rsidRDefault="00F35399" w:rsidP="00D4729F">
            <w:pPr>
              <w:widowControl w:val="0"/>
              <w:adjustRightInd w:val="0"/>
              <w:spacing w:line="240" w:lineRule="auto"/>
              <w:jc w:val="center"/>
              <w:rPr>
                <w:rFonts w:ascii="Times New Roman" w:eastAsia="Calibri" w:hAnsi="Times New Roman" w:cs="Times New Roman"/>
                <w:b/>
                <w:bCs/>
                <w:lang w:val="id-ID"/>
              </w:rPr>
            </w:pPr>
            <w:r w:rsidRPr="00D4729F">
              <w:rPr>
                <w:rFonts w:ascii="Times New Roman" w:eastAsia="Calibri" w:hAnsi="Times New Roman" w:cs="Times New Roman"/>
                <w:b/>
                <w:bCs/>
                <w:lang w:val="id-ID"/>
              </w:rPr>
              <w:t>Acara</w:t>
            </w:r>
          </w:p>
        </w:tc>
      </w:tr>
      <w:tr w:rsidR="00F35399" w:rsidRPr="00F35399" w:rsidTr="00A83897">
        <w:tc>
          <w:tcPr>
            <w:tcW w:w="2936"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Sabtu, 2 April 2022</w:t>
            </w:r>
          </w:p>
        </w:tc>
        <w:tc>
          <w:tcPr>
            <w:tcW w:w="1417"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10.00-12.00</w:t>
            </w:r>
          </w:p>
        </w:tc>
        <w:tc>
          <w:tcPr>
            <w:tcW w:w="4719"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Pelatihan Hermeneutika dan Homiletika</w:t>
            </w:r>
          </w:p>
        </w:tc>
      </w:tr>
      <w:tr w:rsidR="00F35399" w:rsidRPr="00F35399" w:rsidTr="00A83897">
        <w:tc>
          <w:tcPr>
            <w:tcW w:w="2936"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Sabtu, 2 April 2022</w:t>
            </w:r>
          </w:p>
        </w:tc>
        <w:tc>
          <w:tcPr>
            <w:tcW w:w="1417"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14.00-16.00</w:t>
            </w:r>
          </w:p>
        </w:tc>
        <w:tc>
          <w:tcPr>
            <w:tcW w:w="4719"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Pelatihan Hermeneutika dan Homiletika</w:t>
            </w:r>
          </w:p>
        </w:tc>
      </w:tr>
      <w:tr w:rsidR="00F35399" w:rsidRPr="00F35399" w:rsidTr="00A83897">
        <w:tc>
          <w:tcPr>
            <w:tcW w:w="2936"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Sabtu, 2 April 2022</w:t>
            </w:r>
          </w:p>
        </w:tc>
        <w:tc>
          <w:tcPr>
            <w:tcW w:w="1417"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20.00-22.00</w:t>
            </w:r>
          </w:p>
        </w:tc>
        <w:tc>
          <w:tcPr>
            <w:tcW w:w="4719"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 xml:space="preserve">Mengerjakan tugas </w:t>
            </w:r>
          </w:p>
        </w:tc>
      </w:tr>
      <w:tr w:rsidR="00F35399" w:rsidRPr="00F35399" w:rsidTr="00A83897">
        <w:tc>
          <w:tcPr>
            <w:tcW w:w="2936"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Minggu, 3 April 2022</w:t>
            </w:r>
          </w:p>
        </w:tc>
        <w:tc>
          <w:tcPr>
            <w:tcW w:w="1417"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08.00-10.00</w:t>
            </w:r>
          </w:p>
        </w:tc>
        <w:tc>
          <w:tcPr>
            <w:tcW w:w="4719"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Pelatihan Hermeneutika dan Homiletika</w:t>
            </w:r>
          </w:p>
        </w:tc>
      </w:tr>
      <w:tr w:rsidR="00F35399" w:rsidRPr="00F35399" w:rsidTr="00A83897">
        <w:tc>
          <w:tcPr>
            <w:tcW w:w="2936"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Minggu, 3 April 2022</w:t>
            </w:r>
          </w:p>
        </w:tc>
        <w:tc>
          <w:tcPr>
            <w:tcW w:w="1417"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11.00-12.30</w:t>
            </w:r>
          </w:p>
        </w:tc>
        <w:tc>
          <w:tcPr>
            <w:tcW w:w="4719" w:type="dxa"/>
          </w:tcPr>
          <w:p w:rsidR="00F35399" w:rsidRPr="00D4729F" w:rsidRDefault="00F35399" w:rsidP="00D4729F">
            <w:pPr>
              <w:widowControl w:val="0"/>
              <w:adjustRightInd w:val="0"/>
              <w:spacing w:line="240" w:lineRule="auto"/>
              <w:rPr>
                <w:rFonts w:ascii="Times New Roman" w:eastAsia="Calibri" w:hAnsi="Times New Roman" w:cs="Times New Roman"/>
                <w:bCs/>
                <w:lang w:val="id-ID"/>
              </w:rPr>
            </w:pPr>
            <w:r w:rsidRPr="00D4729F">
              <w:rPr>
                <w:rFonts w:ascii="Times New Roman" w:eastAsia="Calibri" w:hAnsi="Times New Roman" w:cs="Times New Roman"/>
                <w:bCs/>
                <w:lang w:val="id-ID"/>
              </w:rPr>
              <w:t>Pelatihan Hermeneutika dan Homiletika</w:t>
            </w:r>
          </w:p>
        </w:tc>
      </w:tr>
      <w:tr w:rsidR="00A83897" w:rsidTr="00A83897">
        <w:tc>
          <w:tcPr>
            <w:tcW w:w="2936" w:type="dxa"/>
          </w:tcPr>
          <w:p w:rsidR="00A83897" w:rsidRDefault="00A83897" w:rsidP="002340E6">
            <w:pPr>
              <w:widowControl w:val="0"/>
              <w:adjustRightInd w:val="0"/>
              <w:spacing w:after="120"/>
              <w:rPr>
                <w:rFonts w:ascii="Times New Roman" w:eastAsia="Calibri" w:hAnsi="Times New Roman" w:cs="Times New Roman"/>
                <w:bCs/>
                <w:lang w:val="id-ID"/>
              </w:rPr>
            </w:pPr>
            <w:r>
              <w:rPr>
                <w:rFonts w:ascii="Times New Roman" w:eastAsia="Calibri" w:hAnsi="Times New Roman" w:cs="Times New Roman"/>
                <w:bCs/>
                <w:lang w:val="id-ID"/>
              </w:rPr>
              <w:t>Minggu, 3 April-seterusnya</w:t>
            </w:r>
          </w:p>
        </w:tc>
        <w:tc>
          <w:tcPr>
            <w:tcW w:w="1417" w:type="dxa"/>
          </w:tcPr>
          <w:p w:rsidR="00A83897" w:rsidRDefault="00A83897" w:rsidP="002340E6">
            <w:pPr>
              <w:widowControl w:val="0"/>
              <w:adjustRightInd w:val="0"/>
              <w:spacing w:after="120"/>
              <w:rPr>
                <w:rFonts w:ascii="Times New Roman" w:eastAsia="Calibri" w:hAnsi="Times New Roman" w:cs="Times New Roman"/>
                <w:bCs/>
                <w:lang w:val="id-ID"/>
              </w:rPr>
            </w:pPr>
          </w:p>
        </w:tc>
        <w:tc>
          <w:tcPr>
            <w:tcW w:w="4719" w:type="dxa"/>
          </w:tcPr>
          <w:p w:rsidR="00A83897" w:rsidRDefault="00A83897" w:rsidP="00A83897">
            <w:pPr>
              <w:widowControl w:val="0"/>
              <w:adjustRightInd w:val="0"/>
              <w:spacing w:after="120" w:line="240" w:lineRule="auto"/>
              <w:rPr>
                <w:rFonts w:ascii="Times New Roman" w:eastAsia="Calibri" w:hAnsi="Times New Roman" w:cs="Times New Roman"/>
                <w:bCs/>
                <w:lang w:val="id-ID"/>
              </w:rPr>
            </w:pPr>
            <w:r>
              <w:rPr>
                <w:rFonts w:ascii="Times New Roman" w:eastAsia="Calibri" w:hAnsi="Times New Roman" w:cs="Times New Roman"/>
                <w:bCs/>
                <w:lang w:val="id-ID"/>
              </w:rPr>
              <w:t>Monitoring oleh Rasul dan Imam GKKI Purworejo</w:t>
            </w:r>
          </w:p>
        </w:tc>
      </w:tr>
    </w:tbl>
    <w:p w:rsidR="00F35399" w:rsidRPr="00F35399" w:rsidRDefault="00F35399">
      <w:pPr>
        <w:spacing w:line="360" w:lineRule="auto"/>
        <w:ind w:firstLine="720"/>
        <w:jc w:val="both"/>
        <w:rPr>
          <w:color w:val="000000"/>
          <w:sz w:val="24"/>
          <w:szCs w:val="24"/>
          <w:lang w:val="id-ID"/>
        </w:rPr>
      </w:pPr>
    </w:p>
    <w:p w:rsidR="00121E50" w:rsidRDefault="007F6745" w:rsidP="00AA654A">
      <w:pPr>
        <w:spacing w:line="360" w:lineRule="auto"/>
        <w:ind w:firstLine="720"/>
        <w:jc w:val="both"/>
        <w:rPr>
          <w:color w:val="000000"/>
          <w:sz w:val="24"/>
          <w:szCs w:val="24"/>
        </w:rPr>
      </w:pPr>
      <w:r>
        <w:rPr>
          <w:color w:val="000000"/>
          <w:sz w:val="24"/>
          <w:szCs w:val="24"/>
          <w:lang w:val="id-ID"/>
        </w:rPr>
        <w:t>Proses pelatihan melalui tiga tahap: persiapan, pelaksanaan dan evaluasi</w:t>
      </w:r>
      <w:r w:rsidR="008A0274">
        <w:rPr>
          <w:color w:val="000000"/>
          <w:sz w:val="24"/>
          <w:szCs w:val="24"/>
          <w:lang w:val="id-ID"/>
        </w:rPr>
        <w:t xml:space="preserve"> juga tindak lanjut hasil pelatihan</w:t>
      </w:r>
      <w:r>
        <w:rPr>
          <w:color w:val="000000"/>
          <w:sz w:val="24"/>
          <w:szCs w:val="24"/>
          <w:lang w:val="id-ID"/>
        </w:rPr>
        <w:t>.</w:t>
      </w:r>
      <w:r>
        <w:rPr>
          <w:rStyle w:val="FootnoteReference"/>
          <w:color w:val="000000"/>
          <w:sz w:val="24"/>
          <w:szCs w:val="24"/>
          <w:lang w:val="id-ID"/>
        </w:rPr>
        <w:footnoteReference w:id="13"/>
      </w:r>
      <w:r>
        <w:rPr>
          <w:color w:val="000000"/>
          <w:sz w:val="24"/>
          <w:szCs w:val="24"/>
          <w:lang w:val="id-ID"/>
        </w:rPr>
        <w:t xml:space="preserve"> Dalam tahap persiapan, tim menghubungi pemimpin GKKI Purworejo untuk memastikan pelaksaan pelatihan. Kemudian tim mempersiapkan bahan-bahan yang diperlukan untuk melaksanakan pelatihan, baik itu materi, baner dan power poin. Tahap kedua, p</w:t>
      </w:r>
      <w:r w:rsidR="00F35399" w:rsidRPr="00F35399">
        <w:rPr>
          <w:color w:val="000000"/>
          <w:sz w:val="24"/>
          <w:szCs w:val="24"/>
          <w:lang w:val="id-ID"/>
        </w:rPr>
        <w:t xml:space="preserve">elaksanaan bertempat di gedung gereja GKKI Purworejo. Alat yang digunakan adalah LCD, Laptop, materi pelatihan dan buku tugas. Dalam pelatihan ini diikuti oleh 17 hingga 24 orang. </w:t>
      </w:r>
      <w:r w:rsidR="00F35399" w:rsidRPr="00F35399">
        <w:rPr>
          <w:rFonts w:eastAsia="Calibri"/>
          <w:bCs/>
          <w:sz w:val="24"/>
          <w:szCs w:val="24"/>
          <w:lang w:val="id-ID"/>
        </w:rPr>
        <w:t>Peserta yang hadir diminta untuk mengisi daftar hadir yang disediakan, kemudian materi dibagikan kepada peserta yang hadir.</w:t>
      </w:r>
      <w:r w:rsidR="00F35399">
        <w:rPr>
          <w:rFonts w:eastAsia="Calibri"/>
          <w:bCs/>
          <w:sz w:val="24"/>
          <w:szCs w:val="24"/>
          <w:lang w:val="id-ID"/>
        </w:rPr>
        <w:t xml:space="preserve"> </w:t>
      </w:r>
      <w:r w:rsidR="00F35399" w:rsidRPr="00F35399">
        <w:rPr>
          <w:rFonts w:eastAsia="Calibri"/>
          <w:bCs/>
          <w:sz w:val="24"/>
          <w:szCs w:val="24"/>
          <w:lang w:val="id-ID"/>
        </w:rPr>
        <w:t xml:space="preserve">Materi disampaikan oleh Bapak Sunarto (Dosen STT SAPPI) dalam pelatihan untuk topik hermeneutika dan homiletika. Pelatihan ini dilaksanakan dengan empat kali pertemuan, tiga kali pertemuan pertama dilaksanakan 120 menit dan satu kali pertemuan terakhir selama 90 menit. Disamping itu peserta juga diwajibkan mengerjakan tugas berkaitan dengan materi pelatihan yang dilaksanakan pada Sabtu malam selama 120 menit. </w:t>
      </w:r>
      <w:r>
        <w:rPr>
          <w:rFonts w:eastAsia="Calibri"/>
          <w:bCs/>
          <w:sz w:val="24"/>
          <w:szCs w:val="24"/>
          <w:lang w:val="id-ID"/>
        </w:rPr>
        <w:t xml:space="preserve">Tahap terakhir dilaksanakan evaluasi untuk menilai pelaksanaan pelatihan. Selain itu, </w:t>
      </w:r>
      <w:r w:rsidR="00F35399" w:rsidRPr="00F35399">
        <w:rPr>
          <w:rFonts w:eastAsia="Calibri"/>
          <w:bCs/>
          <w:sz w:val="24"/>
          <w:szCs w:val="24"/>
          <w:lang w:val="id-ID"/>
        </w:rPr>
        <w:t>dilaksanakan monitoring terus-menerus yang dilaksanakan oleh GKKI Purworejo kepada para peserta yang mengikuti pelatihan.</w:t>
      </w:r>
      <w:r>
        <w:rPr>
          <w:rFonts w:eastAsia="Calibri"/>
          <w:bCs/>
          <w:sz w:val="24"/>
          <w:szCs w:val="24"/>
          <w:lang w:val="id-ID"/>
        </w:rPr>
        <w:t xml:space="preserve"> Tim juga menyusun laporan sebagai bentuk pertanggungjawaban terhadap kegiatan.</w:t>
      </w:r>
      <w:r w:rsidR="00B05CFD">
        <w:rPr>
          <w:color w:val="000000"/>
          <w:sz w:val="24"/>
          <w:szCs w:val="24"/>
        </w:rPr>
        <w:t xml:space="preserve"> </w:t>
      </w:r>
    </w:p>
    <w:p w:rsidR="00121E50" w:rsidRDefault="00121E50">
      <w:pPr>
        <w:pBdr>
          <w:top w:val="nil"/>
          <w:left w:val="nil"/>
          <w:bottom w:val="nil"/>
          <w:right w:val="nil"/>
          <w:between w:val="nil"/>
        </w:pBdr>
        <w:spacing w:line="360" w:lineRule="auto"/>
        <w:rPr>
          <w:color w:val="000000"/>
          <w:sz w:val="24"/>
          <w:szCs w:val="24"/>
        </w:rPr>
      </w:pPr>
    </w:p>
    <w:p w:rsidR="00121E50" w:rsidRDefault="00B05CFD">
      <w:pPr>
        <w:pStyle w:val="Heading1"/>
        <w:tabs>
          <w:tab w:val="left" w:pos="749"/>
        </w:tabs>
        <w:spacing w:line="360" w:lineRule="auto"/>
        <w:ind w:left="0"/>
        <w:jc w:val="both"/>
      </w:pPr>
      <w:r>
        <w:lastRenderedPageBreak/>
        <w:t>HASIL DAN PEMBAHASAN</w:t>
      </w:r>
    </w:p>
    <w:p w:rsidR="00AA654A" w:rsidRDefault="00AA654A">
      <w:pPr>
        <w:spacing w:line="360" w:lineRule="auto"/>
        <w:ind w:firstLine="720"/>
        <w:jc w:val="both"/>
        <w:rPr>
          <w:color w:val="000000"/>
          <w:sz w:val="24"/>
          <w:szCs w:val="24"/>
          <w:lang w:val="id-ID"/>
        </w:rPr>
      </w:pPr>
      <w:r w:rsidRPr="00AA654A">
        <w:rPr>
          <w:color w:val="000000"/>
          <w:sz w:val="24"/>
          <w:szCs w:val="24"/>
          <w:lang w:val="id-ID"/>
        </w:rPr>
        <w:t>Pelatihan ini telah terlaksana dengan lancar dan sesuai dengan yang telah dipersiapkan. Pemimpin jemaat yang menghadiri pelatihan ini terlihat sangat antusias. Melalui pelatihan ini, mereka harapkan adanya pelatihan yang akan dilakukan lagi secara berkelanjutan untuk tahun-tahun yang akan datang.</w:t>
      </w:r>
      <w:r>
        <w:rPr>
          <w:color w:val="000000"/>
          <w:sz w:val="24"/>
          <w:szCs w:val="24"/>
          <w:lang w:val="id-ID"/>
        </w:rPr>
        <w:t xml:space="preserve"> Pelaksanaan kegiatan ini </w:t>
      </w:r>
      <w:r w:rsidR="00D4729F">
        <w:rPr>
          <w:color w:val="000000"/>
          <w:sz w:val="24"/>
          <w:szCs w:val="24"/>
          <w:lang w:val="id-ID"/>
        </w:rPr>
        <w:t xml:space="preserve">juga </w:t>
      </w:r>
      <w:r>
        <w:rPr>
          <w:color w:val="000000"/>
          <w:sz w:val="24"/>
          <w:szCs w:val="24"/>
          <w:lang w:val="id-ID"/>
        </w:rPr>
        <w:t>merupakan penerapan dari penelitian yang telah dilakukan</w:t>
      </w:r>
      <w:r w:rsidR="00D4729F">
        <w:rPr>
          <w:color w:val="000000"/>
          <w:sz w:val="24"/>
          <w:szCs w:val="24"/>
          <w:lang w:val="id-ID"/>
        </w:rPr>
        <w:t>.</w:t>
      </w:r>
      <w:r w:rsidR="00D4729F">
        <w:rPr>
          <w:rStyle w:val="FootnoteReference"/>
          <w:color w:val="000000"/>
          <w:sz w:val="24"/>
          <w:szCs w:val="24"/>
          <w:lang w:val="id-ID"/>
        </w:rPr>
        <w:footnoteReference w:id="14"/>
      </w:r>
      <w:r>
        <w:rPr>
          <w:color w:val="000000"/>
          <w:sz w:val="24"/>
          <w:szCs w:val="24"/>
          <w:lang w:val="id-ID"/>
        </w:rPr>
        <w:t xml:space="preserve"> </w:t>
      </w:r>
    </w:p>
    <w:p w:rsidR="00021972" w:rsidRDefault="00021972" w:rsidP="00021972">
      <w:pPr>
        <w:spacing w:line="360" w:lineRule="auto"/>
        <w:ind w:firstLine="720"/>
        <w:jc w:val="both"/>
        <w:rPr>
          <w:color w:val="000000"/>
          <w:sz w:val="24"/>
          <w:szCs w:val="24"/>
          <w:lang w:val="id-ID"/>
        </w:rPr>
      </w:pPr>
      <w:r>
        <w:rPr>
          <w:color w:val="000000"/>
          <w:sz w:val="24"/>
          <w:szCs w:val="24"/>
          <w:lang w:val="id-ID"/>
        </w:rPr>
        <w:t>Pertemuan pertama, materi disampaikan melalui ceramah mengenai hermeneutika. Adapun poin-poin yang dijelaskan berkaitan mengenai pengertian.arti kata hermeneutika, definisi hermeneutika, keterbatasan hermeneutika, pentingnya hermeneutika, tujuan mempelajari hermeneutika. Pertemuan pertama juga diakhiri dengan tanya-jawab dengan peserta pelatihan.</w:t>
      </w:r>
      <w:r w:rsidR="00790858">
        <w:rPr>
          <w:color w:val="000000"/>
          <w:sz w:val="24"/>
          <w:szCs w:val="24"/>
          <w:lang w:val="id-ID"/>
        </w:rPr>
        <w:t xml:space="preserve"> M</w:t>
      </w:r>
      <w:r>
        <w:rPr>
          <w:color w:val="000000"/>
          <w:sz w:val="24"/>
          <w:szCs w:val="24"/>
          <w:lang w:val="id-ID"/>
        </w:rPr>
        <w:t>ateri pelatihan</w:t>
      </w:r>
      <w:r w:rsidR="00790858">
        <w:rPr>
          <w:color w:val="000000"/>
          <w:sz w:val="24"/>
          <w:szCs w:val="24"/>
          <w:lang w:val="id-ID"/>
        </w:rPr>
        <w:t xml:space="preserve"> dilanjutkan dengan</w:t>
      </w:r>
      <w:r>
        <w:rPr>
          <w:color w:val="000000"/>
          <w:sz w:val="24"/>
          <w:szCs w:val="24"/>
          <w:lang w:val="id-ID"/>
        </w:rPr>
        <w:t xml:space="preserve"> memaparkan mengenai alat-alat bantu hermeneutika (Alkitab, kamus, konkordansi, buku pengantar Alkitab dan buku-buku tafsiran). Alat-alat bantu tersebut sangat berguna untuk membantu pekerjaan penafsir, tetapi alat-alat tersebut </w:t>
      </w:r>
      <w:r w:rsidRPr="00021972">
        <w:rPr>
          <w:color w:val="000000"/>
          <w:sz w:val="24"/>
          <w:szCs w:val="24"/>
          <w:lang w:val="id-ID"/>
        </w:rPr>
        <w:t>tetapi alat-alat t</w:t>
      </w:r>
      <w:r>
        <w:rPr>
          <w:color w:val="000000"/>
          <w:sz w:val="24"/>
          <w:szCs w:val="24"/>
          <w:lang w:val="id-ID"/>
        </w:rPr>
        <w:t>er</w:t>
      </w:r>
      <w:r w:rsidRPr="00021972">
        <w:rPr>
          <w:color w:val="000000"/>
          <w:sz w:val="24"/>
          <w:szCs w:val="24"/>
          <w:lang w:val="id-ID"/>
        </w:rPr>
        <w:t>s</w:t>
      </w:r>
      <w:r>
        <w:rPr>
          <w:color w:val="000000"/>
          <w:sz w:val="24"/>
          <w:szCs w:val="24"/>
          <w:lang w:val="id-ID"/>
        </w:rPr>
        <w:t>e</w:t>
      </w:r>
      <w:r w:rsidRPr="00021972">
        <w:rPr>
          <w:color w:val="000000"/>
          <w:sz w:val="24"/>
          <w:szCs w:val="24"/>
          <w:lang w:val="id-ID"/>
        </w:rPr>
        <w:t>b</w:t>
      </w:r>
      <w:r>
        <w:rPr>
          <w:color w:val="000000"/>
          <w:sz w:val="24"/>
          <w:szCs w:val="24"/>
          <w:lang w:val="id-ID"/>
        </w:rPr>
        <w:t>ut</w:t>
      </w:r>
      <w:r w:rsidRPr="00021972">
        <w:rPr>
          <w:color w:val="000000"/>
          <w:sz w:val="24"/>
          <w:szCs w:val="24"/>
          <w:lang w:val="id-ID"/>
        </w:rPr>
        <w:t xml:space="preserve"> tidak akan dapat menggantikan pekerjaan dan tanggung jawab penafsir. Penafsir adalah subjek (pribadi) yang harus mengerjakannya. Alat-alat yang lengkap dan baik belum cukup menjamin hasil penafsiran yang baik. Kesungguhan penafsir untuk bergantung kepada Roh Kudus, sebagai Iluminator, dan kemampuan yang cukup dari penafsir sangat menentukan keberhasilan pekerjaan menafsir. Tetapi alat-alat yang len</w:t>
      </w:r>
      <w:r>
        <w:rPr>
          <w:color w:val="000000"/>
          <w:sz w:val="24"/>
          <w:szCs w:val="24"/>
          <w:lang w:val="id-ID"/>
        </w:rPr>
        <w:t>gkap akan memungkinkan hasil tersebut</w:t>
      </w:r>
      <w:r w:rsidRPr="00021972">
        <w:rPr>
          <w:color w:val="000000"/>
          <w:sz w:val="24"/>
          <w:szCs w:val="24"/>
          <w:lang w:val="id-ID"/>
        </w:rPr>
        <w:t xml:space="preserve"> maksimal dan akurat.</w:t>
      </w:r>
      <w:r>
        <w:rPr>
          <w:color w:val="000000"/>
          <w:sz w:val="24"/>
          <w:szCs w:val="24"/>
          <w:lang w:val="id-ID"/>
        </w:rPr>
        <w:t xml:space="preserve"> Kemudian penjelasan dilanjutkan dengan membahas prinsip-prinsip hermeneutika umum, yang mencakup: menafsirkan menurut konteksnya, mempelajari bahasa aslinya, memahami tata bahasanya, memahami maksud dan tujuan penulisnya, mempelajari latar belakangnya dan menafsirkan dengan memperhatikan keutuhan ajaran Alkitab.</w:t>
      </w:r>
    </w:p>
    <w:p w:rsidR="00F367BE" w:rsidRPr="00DF15F1" w:rsidRDefault="00F367BE" w:rsidP="00F367BE">
      <w:pPr>
        <w:spacing w:line="360" w:lineRule="auto"/>
        <w:ind w:firstLine="720"/>
        <w:jc w:val="both"/>
        <w:rPr>
          <w:color w:val="000000"/>
          <w:sz w:val="24"/>
          <w:szCs w:val="24"/>
        </w:rPr>
      </w:pPr>
      <w:r w:rsidRPr="00DF15F1">
        <w:rPr>
          <w:color w:val="000000"/>
          <w:sz w:val="24"/>
          <w:szCs w:val="24"/>
        </w:rPr>
        <w:t>He</w:t>
      </w:r>
      <w:r>
        <w:rPr>
          <w:color w:val="000000"/>
          <w:sz w:val="24"/>
          <w:szCs w:val="24"/>
        </w:rPr>
        <w:t>rmeneutika adalah ilmu yang menafsirkan Alkitab.</w:t>
      </w:r>
      <w:r>
        <w:rPr>
          <w:rStyle w:val="FootnoteReference"/>
          <w:color w:val="000000"/>
          <w:sz w:val="24"/>
          <w:szCs w:val="24"/>
        </w:rPr>
        <w:footnoteReference w:id="15"/>
      </w:r>
      <w:r>
        <w:rPr>
          <w:color w:val="000000"/>
          <w:sz w:val="24"/>
          <w:szCs w:val="24"/>
        </w:rPr>
        <w:t xml:space="preserve"> Hasil tafsirannya akan diaplikasikan kepada umat Allah, sehingga menjawab permasalahan atau kebutuhan jemaat.</w:t>
      </w:r>
      <w:r>
        <w:rPr>
          <w:rStyle w:val="FootnoteReference"/>
          <w:color w:val="000000"/>
          <w:sz w:val="24"/>
          <w:szCs w:val="24"/>
        </w:rPr>
        <w:footnoteReference w:id="16"/>
      </w:r>
      <w:r>
        <w:rPr>
          <w:color w:val="000000"/>
          <w:sz w:val="24"/>
          <w:szCs w:val="24"/>
        </w:rPr>
        <w:t xml:space="preserve">Dengan demikian, firman Allah menjadi relevan dengan konteks jemaat atau umat </w:t>
      </w:r>
      <w:r>
        <w:rPr>
          <w:color w:val="000000"/>
          <w:sz w:val="24"/>
          <w:szCs w:val="24"/>
        </w:rPr>
        <w:lastRenderedPageBreak/>
        <w:t>Allah pada masa kini.</w:t>
      </w:r>
      <w:r>
        <w:rPr>
          <w:rStyle w:val="FootnoteReference"/>
          <w:color w:val="000000"/>
          <w:sz w:val="24"/>
          <w:szCs w:val="24"/>
        </w:rPr>
        <w:footnoteReference w:id="17"/>
      </w:r>
      <w:r>
        <w:rPr>
          <w:color w:val="000000"/>
          <w:sz w:val="24"/>
          <w:szCs w:val="24"/>
          <w:lang w:val="id-ID"/>
        </w:rPr>
        <w:t xml:space="preserve"> </w:t>
      </w:r>
      <w:r>
        <w:rPr>
          <w:color w:val="000000"/>
          <w:sz w:val="24"/>
          <w:szCs w:val="24"/>
        </w:rPr>
        <w:t>Firman Allah menjadi kehidupan bagi umat.</w:t>
      </w:r>
      <w:r>
        <w:rPr>
          <w:rStyle w:val="FootnoteReference"/>
          <w:color w:val="000000"/>
          <w:sz w:val="24"/>
          <w:szCs w:val="24"/>
        </w:rPr>
        <w:footnoteReference w:id="18"/>
      </w:r>
    </w:p>
    <w:p w:rsidR="00F367BE" w:rsidRDefault="00F367BE" w:rsidP="00F367BE">
      <w:pPr>
        <w:spacing w:line="360" w:lineRule="auto"/>
        <w:ind w:firstLine="720"/>
        <w:jc w:val="both"/>
        <w:rPr>
          <w:color w:val="000000"/>
          <w:sz w:val="24"/>
          <w:szCs w:val="24"/>
        </w:rPr>
      </w:pPr>
      <w:r w:rsidRPr="003D0A4F">
        <w:rPr>
          <w:color w:val="000000"/>
          <w:sz w:val="24"/>
          <w:szCs w:val="24"/>
        </w:rPr>
        <w:t>Hermeneutik alkitabiah ialah ilmu yang menolong untuk dapat mengaktualkan berita yang terkandung dalam kejadian historis yang di</w:t>
      </w:r>
      <w:r>
        <w:rPr>
          <w:color w:val="000000"/>
          <w:sz w:val="24"/>
          <w:szCs w:val="24"/>
        </w:rPr>
        <w:t>paparkan dalam tradisi alkitab.</w:t>
      </w:r>
      <w:r>
        <w:rPr>
          <w:rStyle w:val="FootnoteReference"/>
          <w:color w:val="000000"/>
          <w:sz w:val="24"/>
          <w:szCs w:val="24"/>
        </w:rPr>
        <w:footnoteReference w:id="19"/>
      </w:r>
      <w:r w:rsidRPr="003D0A4F">
        <w:rPr>
          <w:color w:val="000000"/>
          <w:sz w:val="24"/>
          <w:szCs w:val="24"/>
        </w:rPr>
        <w:t>Hermeneutik b</w:t>
      </w:r>
      <w:r>
        <w:rPr>
          <w:color w:val="000000"/>
          <w:sz w:val="24"/>
          <w:szCs w:val="24"/>
        </w:rPr>
        <w:t>erfungsi untuk melayani berita A</w:t>
      </w:r>
      <w:r w:rsidRPr="003D0A4F">
        <w:rPr>
          <w:color w:val="000000"/>
          <w:sz w:val="24"/>
          <w:szCs w:val="24"/>
        </w:rPr>
        <w:t>lkitab, sehingga kepercayaan orang dahulu yang berlangsung dalam sejar</w:t>
      </w:r>
      <w:r>
        <w:rPr>
          <w:color w:val="000000"/>
          <w:sz w:val="24"/>
          <w:szCs w:val="24"/>
        </w:rPr>
        <w:t>ah menjadi milik umat sekarang.</w:t>
      </w:r>
      <w:r>
        <w:rPr>
          <w:rStyle w:val="FootnoteReference"/>
          <w:color w:val="000000"/>
          <w:sz w:val="24"/>
          <w:szCs w:val="24"/>
        </w:rPr>
        <w:footnoteReference w:id="20"/>
      </w:r>
      <w:r>
        <w:rPr>
          <w:color w:val="000000"/>
          <w:sz w:val="24"/>
          <w:szCs w:val="24"/>
          <w:lang w:val="id-ID"/>
        </w:rPr>
        <w:t xml:space="preserve"> </w:t>
      </w:r>
      <w:r>
        <w:rPr>
          <w:color w:val="000000"/>
          <w:sz w:val="24"/>
          <w:szCs w:val="24"/>
        </w:rPr>
        <w:t>O</w:t>
      </w:r>
      <w:r w:rsidRPr="003D0A4F">
        <w:rPr>
          <w:color w:val="000000"/>
          <w:sz w:val="24"/>
          <w:szCs w:val="24"/>
        </w:rPr>
        <w:t>leh karena itu</w:t>
      </w:r>
      <w:r>
        <w:rPr>
          <w:color w:val="000000"/>
          <w:sz w:val="24"/>
          <w:szCs w:val="24"/>
        </w:rPr>
        <w:t>,</w:t>
      </w:r>
      <w:r w:rsidRPr="003D0A4F">
        <w:rPr>
          <w:color w:val="000000"/>
          <w:sz w:val="24"/>
          <w:szCs w:val="24"/>
        </w:rPr>
        <w:t xml:space="preserve"> umat merasa terikat dan wajib mendengarkan </w:t>
      </w:r>
      <w:r>
        <w:rPr>
          <w:color w:val="000000"/>
          <w:sz w:val="24"/>
          <w:szCs w:val="24"/>
        </w:rPr>
        <w:t>F</w:t>
      </w:r>
      <w:r w:rsidRPr="003D0A4F">
        <w:rPr>
          <w:color w:val="000000"/>
          <w:sz w:val="24"/>
          <w:szCs w:val="24"/>
        </w:rPr>
        <w:t xml:space="preserve">irman </w:t>
      </w:r>
      <w:r>
        <w:rPr>
          <w:color w:val="000000"/>
          <w:sz w:val="24"/>
          <w:szCs w:val="24"/>
        </w:rPr>
        <w:t>Allah.</w:t>
      </w:r>
      <w:r>
        <w:rPr>
          <w:rStyle w:val="FootnoteReference"/>
          <w:color w:val="000000"/>
          <w:sz w:val="24"/>
          <w:szCs w:val="24"/>
        </w:rPr>
        <w:footnoteReference w:id="21"/>
      </w:r>
    </w:p>
    <w:p w:rsidR="00F367BE" w:rsidRPr="002B31E6" w:rsidRDefault="00F367BE" w:rsidP="00F367BE">
      <w:pPr>
        <w:spacing w:line="360" w:lineRule="auto"/>
        <w:ind w:firstLine="720"/>
        <w:jc w:val="both"/>
        <w:rPr>
          <w:color w:val="000000"/>
          <w:sz w:val="24"/>
          <w:szCs w:val="24"/>
        </w:rPr>
      </w:pPr>
      <w:r w:rsidRPr="002B31E6">
        <w:rPr>
          <w:color w:val="000000"/>
          <w:sz w:val="24"/>
          <w:szCs w:val="24"/>
        </w:rPr>
        <w:t>Prinsip umum adalah aturan-aturan yang dapat dipakai untuk menafsirkan segala macam bentuk sastra.</w:t>
      </w:r>
      <w:r>
        <w:rPr>
          <w:rStyle w:val="FootnoteReference"/>
          <w:color w:val="000000"/>
          <w:sz w:val="24"/>
          <w:szCs w:val="24"/>
        </w:rPr>
        <w:footnoteReference w:id="22"/>
      </w:r>
      <w:r w:rsidRPr="002B31E6">
        <w:rPr>
          <w:color w:val="000000"/>
          <w:sz w:val="24"/>
          <w:szCs w:val="24"/>
        </w:rPr>
        <w:t xml:space="preserve"> Dalam </w:t>
      </w:r>
      <w:r>
        <w:rPr>
          <w:color w:val="000000"/>
          <w:sz w:val="24"/>
          <w:szCs w:val="24"/>
        </w:rPr>
        <w:t>prinsip u</w:t>
      </w:r>
      <w:r w:rsidRPr="002B31E6">
        <w:rPr>
          <w:color w:val="000000"/>
          <w:sz w:val="24"/>
          <w:szCs w:val="24"/>
        </w:rPr>
        <w:t xml:space="preserve">mum </w:t>
      </w:r>
      <w:r>
        <w:rPr>
          <w:color w:val="000000"/>
          <w:sz w:val="24"/>
          <w:szCs w:val="24"/>
        </w:rPr>
        <w:t>ini tercakup didalamnya adalah:</w:t>
      </w:r>
      <w:r>
        <w:rPr>
          <w:rStyle w:val="FootnoteReference"/>
          <w:color w:val="000000"/>
          <w:sz w:val="24"/>
          <w:szCs w:val="24"/>
        </w:rPr>
        <w:footnoteReference w:id="23"/>
      </w:r>
      <w:r>
        <w:rPr>
          <w:color w:val="000000"/>
          <w:sz w:val="24"/>
          <w:szCs w:val="24"/>
        </w:rPr>
        <w:t xml:space="preserve"> 1) menafsirkan m</w:t>
      </w:r>
      <w:r w:rsidRPr="002B31E6">
        <w:rPr>
          <w:color w:val="000000"/>
          <w:sz w:val="24"/>
          <w:szCs w:val="24"/>
        </w:rPr>
        <w:t xml:space="preserve">enurut </w:t>
      </w:r>
      <w:r>
        <w:rPr>
          <w:color w:val="000000"/>
          <w:sz w:val="24"/>
          <w:szCs w:val="24"/>
        </w:rPr>
        <w:t>k</w:t>
      </w:r>
      <w:r w:rsidRPr="002B31E6">
        <w:rPr>
          <w:color w:val="000000"/>
          <w:sz w:val="24"/>
          <w:szCs w:val="24"/>
        </w:rPr>
        <w:t>onteksnya</w:t>
      </w:r>
      <w:r>
        <w:rPr>
          <w:color w:val="000000"/>
          <w:sz w:val="24"/>
          <w:szCs w:val="24"/>
        </w:rPr>
        <w:t xml:space="preserve">; 2) </w:t>
      </w:r>
      <w:r w:rsidRPr="002B31E6">
        <w:rPr>
          <w:color w:val="000000"/>
          <w:sz w:val="24"/>
          <w:szCs w:val="24"/>
        </w:rPr>
        <w:t>mempelajari arti kata bahasa aselinya</w:t>
      </w:r>
      <w:r>
        <w:rPr>
          <w:color w:val="000000"/>
          <w:sz w:val="24"/>
          <w:szCs w:val="24"/>
        </w:rPr>
        <w:t>; 3) m</w:t>
      </w:r>
      <w:r w:rsidRPr="002B31E6">
        <w:rPr>
          <w:color w:val="000000"/>
          <w:sz w:val="24"/>
          <w:szCs w:val="24"/>
        </w:rPr>
        <w:t xml:space="preserve">emahami </w:t>
      </w:r>
      <w:r>
        <w:rPr>
          <w:color w:val="000000"/>
          <w:sz w:val="24"/>
          <w:szCs w:val="24"/>
        </w:rPr>
        <w:t>t</w:t>
      </w:r>
      <w:r w:rsidRPr="002B31E6">
        <w:rPr>
          <w:color w:val="000000"/>
          <w:sz w:val="24"/>
          <w:szCs w:val="24"/>
        </w:rPr>
        <w:t xml:space="preserve">ata </w:t>
      </w:r>
      <w:r>
        <w:rPr>
          <w:color w:val="000000"/>
          <w:sz w:val="24"/>
          <w:szCs w:val="24"/>
        </w:rPr>
        <w:t>b</w:t>
      </w:r>
      <w:r w:rsidRPr="002B31E6">
        <w:rPr>
          <w:color w:val="000000"/>
          <w:sz w:val="24"/>
          <w:szCs w:val="24"/>
        </w:rPr>
        <w:t>ahasanya</w:t>
      </w:r>
      <w:r>
        <w:rPr>
          <w:color w:val="000000"/>
          <w:sz w:val="24"/>
          <w:szCs w:val="24"/>
        </w:rPr>
        <w:t>; 4) m</w:t>
      </w:r>
      <w:r w:rsidRPr="002B31E6">
        <w:rPr>
          <w:color w:val="000000"/>
          <w:sz w:val="24"/>
          <w:szCs w:val="24"/>
        </w:rPr>
        <w:t xml:space="preserve">emahami </w:t>
      </w:r>
      <w:r>
        <w:rPr>
          <w:color w:val="000000"/>
          <w:sz w:val="24"/>
          <w:szCs w:val="24"/>
        </w:rPr>
        <w:t>m</w:t>
      </w:r>
      <w:r w:rsidRPr="002B31E6">
        <w:rPr>
          <w:color w:val="000000"/>
          <w:sz w:val="24"/>
          <w:szCs w:val="24"/>
        </w:rPr>
        <w:t xml:space="preserve">aksud atau </w:t>
      </w:r>
      <w:r>
        <w:rPr>
          <w:color w:val="000000"/>
          <w:sz w:val="24"/>
          <w:szCs w:val="24"/>
        </w:rPr>
        <w:t>t</w:t>
      </w:r>
      <w:r w:rsidRPr="002B31E6">
        <w:rPr>
          <w:color w:val="000000"/>
          <w:sz w:val="24"/>
          <w:szCs w:val="24"/>
        </w:rPr>
        <w:t xml:space="preserve">ujuan </w:t>
      </w:r>
      <w:r>
        <w:rPr>
          <w:color w:val="000000"/>
          <w:sz w:val="24"/>
          <w:szCs w:val="24"/>
        </w:rPr>
        <w:t>p</w:t>
      </w:r>
      <w:r w:rsidRPr="002B31E6">
        <w:rPr>
          <w:color w:val="000000"/>
          <w:sz w:val="24"/>
          <w:szCs w:val="24"/>
        </w:rPr>
        <w:t>enulisnya</w:t>
      </w:r>
      <w:r>
        <w:rPr>
          <w:color w:val="000000"/>
          <w:sz w:val="24"/>
          <w:szCs w:val="24"/>
        </w:rPr>
        <w:t>; 5) mempelajari l</w:t>
      </w:r>
      <w:r w:rsidRPr="002B31E6">
        <w:rPr>
          <w:color w:val="000000"/>
          <w:sz w:val="24"/>
          <w:szCs w:val="24"/>
        </w:rPr>
        <w:t xml:space="preserve">atar </w:t>
      </w:r>
      <w:r>
        <w:rPr>
          <w:color w:val="000000"/>
          <w:sz w:val="24"/>
          <w:szCs w:val="24"/>
        </w:rPr>
        <w:t>b</w:t>
      </w:r>
      <w:r w:rsidRPr="002B31E6">
        <w:rPr>
          <w:color w:val="000000"/>
          <w:sz w:val="24"/>
          <w:szCs w:val="24"/>
        </w:rPr>
        <w:t>elakangnya</w:t>
      </w:r>
      <w:r>
        <w:rPr>
          <w:color w:val="000000"/>
          <w:sz w:val="24"/>
          <w:szCs w:val="24"/>
        </w:rPr>
        <w:t>; 6) menafsirkan ayat dengan a</w:t>
      </w:r>
      <w:r w:rsidRPr="002B31E6">
        <w:rPr>
          <w:color w:val="000000"/>
          <w:sz w:val="24"/>
          <w:szCs w:val="24"/>
        </w:rPr>
        <w:t>yat Alkitab</w:t>
      </w:r>
      <w:r>
        <w:rPr>
          <w:color w:val="000000"/>
          <w:sz w:val="24"/>
          <w:szCs w:val="24"/>
        </w:rPr>
        <w:t>.</w:t>
      </w:r>
    </w:p>
    <w:p w:rsidR="00F367BE" w:rsidRDefault="00F367BE" w:rsidP="00F367BE">
      <w:pPr>
        <w:spacing w:line="360" w:lineRule="auto"/>
        <w:jc w:val="both"/>
        <w:rPr>
          <w:color w:val="000000"/>
          <w:sz w:val="24"/>
          <w:szCs w:val="24"/>
        </w:rPr>
      </w:pPr>
      <w:r>
        <w:rPr>
          <w:color w:val="000000"/>
          <w:sz w:val="24"/>
          <w:szCs w:val="24"/>
        </w:rPr>
        <w:tab/>
        <w:t>Hermeneutika merupakan titik berangkat dari kotbah atau homiletika.</w:t>
      </w:r>
      <w:r>
        <w:rPr>
          <w:rStyle w:val="FootnoteReference"/>
          <w:color w:val="000000"/>
          <w:sz w:val="24"/>
          <w:szCs w:val="24"/>
        </w:rPr>
        <w:footnoteReference w:id="24"/>
      </w:r>
      <w:r>
        <w:rPr>
          <w:color w:val="000000"/>
          <w:sz w:val="24"/>
          <w:szCs w:val="24"/>
        </w:rPr>
        <w:t>Seorang pengkotbah haruslah memiliki keterampilan dalam menafsirkan Alkitab.</w:t>
      </w:r>
      <w:r>
        <w:rPr>
          <w:rStyle w:val="FootnoteReference"/>
          <w:color w:val="000000"/>
          <w:sz w:val="24"/>
          <w:szCs w:val="24"/>
        </w:rPr>
        <w:footnoteReference w:id="25"/>
      </w:r>
      <w:r>
        <w:rPr>
          <w:color w:val="000000"/>
          <w:sz w:val="24"/>
          <w:szCs w:val="24"/>
        </w:rPr>
        <w:t>Karena, inilah yang menjadi dasar utama dari seorang pengkotbah.Dasar dari kotbah adalah Firman Allah yang diwartakan kepada umat.</w:t>
      </w:r>
      <w:r>
        <w:rPr>
          <w:rStyle w:val="FootnoteReference"/>
          <w:color w:val="000000"/>
          <w:sz w:val="24"/>
          <w:szCs w:val="24"/>
        </w:rPr>
        <w:footnoteReference w:id="26"/>
      </w:r>
      <w:r>
        <w:rPr>
          <w:color w:val="000000"/>
          <w:sz w:val="24"/>
          <w:szCs w:val="24"/>
          <w:lang w:val="id-ID"/>
        </w:rPr>
        <w:t xml:space="preserve"> </w:t>
      </w:r>
      <w:r>
        <w:rPr>
          <w:color w:val="000000"/>
          <w:sz w:val="24"/>
          <w:szCs w:val="24"/>
        </w:rPr>
        <w:t>Hal ini dapat diperoleh melalui penafsiran Alkitab, yang mana hasilnya diwartakan kepada umat Allah.</w:t>
      </w:r>
    </w:p>
    <w:p w:rsidR="00F367BE" w:rsidRDefault="00021972" w:rsidP="00F367BE">
      <w:pPr>
        <w:spacing w:line="360" w:lineRule="auto"/>
        <w:ind w:firstLine="709"/>
        <w:jc w:val="both"/>
        <w:rPr>
          <w:color w:val="000000"/>
          <w:sz w:val="24"/>
          <w:szCs w:val="24"/>
          <w:lang w:val="id-ID"/>
        </w:rPr>
      </w:pPr>
      <w:r>
        <w:rPr>
          <w:color w:val="000000"/>
          <w:sz w:val="24"/>
          <w:szCs w:val="24"/>
          <w:lang w:val="id-ID"/>
        </w:rPr>
        <w:t xml:space="preserve">Pertemuan </w:t>
      </w:r>
      <w:r w:rsidR="00790858">
        <w:rPr>
          <w:color w:val="000000"/>
          <w:sz w:val="24"/>
          <w:szCs w:val="24"/>
          <w:lang w:val="id-ID"/>
        </w:rPr>
        <w:t>kedua</w:t>
      </w:r>
      <w:r>
        <w:rPr>
          <w:color w:val="000000"/>
          <w:sz w:val="24"/>
          <w:szCs w:val="24"/>
          <w:lang w:val="id-ID"/>
        </w:rPr>
        <w:t xml:space="preserve"> memasuki topik yang mendalami mengenai Homiletika. </w:t>
      </w:r>
      <w:r w:rsidR="00F367BE">
        <w:rPr>
          <w:color w:val="000000"/>
          <w:sz w:val="24"/>
          <w:szCs w:val="24"/>
        </w:rPr>
        <w:t>K</w:t>
      </w:r>
      <w:r w:rsidR="00F367BE">
        <w:rPr>
          <w:color w:val="000000"/>
          <w:sz w:val="24"/>
          <w:szCs w:val="24"/>
          <w:lang w:val="id-ID"/>
        </w:rPr>
        <w:t>h</w:t>
      </w:r>
      <w:r w:rsidR="00F367BE" w:rsidRPr="00DA7A38">
        <w:rPr>
          <w:color w:val="000000"/>
          <w:sz w:val="24"/>
          <w:szCs w:val="24"/>
        </w:rPr>
        <w:t xml:space="preserve">otbah </w:t>
      </w:r>
      <w:r w:rsidR="00F367BE">
        <w:rPr>
          <w:color w:val="000000"/>
          <w:sz w:val="24"/>
          <w:szCs w:val="24"/>
          <w:lang w:val="id-ID"/>
        </w:rPr>
        <w:t>z</w:t>
      </w:r>
      <w:r w:rsidR="00F367BE" w:rsidRPr="00DA7A38">
        <w:rPr>
          <w:color w:val="000000"/>
          <w:sz w:val="24"/>
          <w:szCs w:val="24"/>
        </w:rPr>
        <w:t>adalah keterampilan komunikasi dari suatu konsep atau gagasan Alkitabiah yang dapat diambil melalui penafsiran yang benar dari ayat-ayat Alkitab</w:t>
      </w:r>
      <w:r w:rsidR="00F367BE">
        <w:rPr>
          <w:color w:val="000000"/>
          <w:sz w:val="24"/>
          <w:szCs w:val="24"/>
        </w:rPr>
        <w:t>, yang</w:t>
      </w:r>
      <w:r w:rsidR="00F367BE" w:rsidRPr="00DA7A38">
        <w:rPr>
          <w:color w:val="000000"/>
          <w:sz w:val="24"/>
          <w:szCs w:val="24"/>
        </w:rPr>
        <w:t xml:space="preserve"> diterapkan melalui kuasa Roh Kudus pada kehidupan pengkhotbah dan pendengar khotbah (Yakobus berkata bahwa iman tanpa perbuatan adalah mati).</w:t>
      </w:r>
      <w:r w:rsidR="00F367BE">
        <w:rPr>
          <w:rStyle w:val="FootnoteReference"/>
          <w:color w:val="000000"/>
          <w:sz w:val="24"/>
          <w:szCs w:val="24"/>
        </w:rPr>
        <w:footnoteReference w:id="27"/>
      </w:r>
      <w:r w:rsidR="00F367BE">
        <w:rPr>
          <w:color w:val="000000"/>
          <w:sz w:val="24"/>
          <w:szCs w:val="24"/>
          <w:lang w:val="id-ID"/>
        </w:rPr>
        <w:t xml:space="preserve"> </w:t>
      </w:r>
      <w:r w:rsidR="00F367BE" w:rsidRPr="00DA7A38">
        <w:rPr>
          <w:color w:val="000000"/>
          <w:sz w:val="24"/>
          <w:szCs w:val="24"/>
        </w:rPr>
        <w:t>K</w:t>
      </w:r>
      <w:r w:rsidR="00F367BE">
        <w:rPr>
          <w:color w:val="000000"/>
          <w:sz w:val="24"/>
          <w:szCs w:val="24"/>
          <w:lang w:val="id-ID"/>
        </w:rPr>
        <w:t>h</w:t>
      </w:r>
      <w:r w:rsidR="00F367BE" w:rsidRPr="00DA7A38">
        <w:rPr>
          <w:color w:val="000000"/>
          <w:sz w:val="24"/>
          <w:szCs w:val="24"/>
        </w:rPr>
        <w:t>otbah adalah Firman Tuhan yang diterima, dirasakan dan dilakukan oleh diri sendiri kemudian diutarakan dengan tegas dan nyata, supaya menjadi kesaksian dan jal</w:t>
      </w:r>
      <w:r w:rsidR="00F367BE">
        <w:rPr>
          <w:color w:val="000000"/>
          <w:sz w:val="24"/>
          <w:szCs w:val="24"/>
        </w:rPr>
        <w:t>an keselamatan bagi orang lain.</w:t>
      </w:r>
      <w:r w:rsidR="00F367BE">
        <w:rPr>
          <w:rStyle w:val="FootnoteReference"/>
          <w:color w:val="000000"/>
          <w:sz w:val="24"/>
          <w:szCs w:val="24"/>
        </w:rPr>
        <w:footnoteReference w:id="28"/>
      </w:r>
      <w:r w:rsidR="00F367BE">
        <w:rPr>
          <w:color w:val="000000"/>
          <w:sz w:val="24"/>
          <w:szCs w:val="24"/>
        </w:rPr>
        <w:t>Kotbah adalah menyampaikan F</w:t>
      </w:r>
      <w:r w:rsidR="00F367BE" w:rsidRPr="00DA7A38">
        <w:rPr>
          <w:color w:val="000000"/>
          <w:sz w:val="24"/>
          <w:szCs w:val="24"/>
        </w:rPr>
        <w:t>irman Tuhan yang tertulis dalam Alkitab. Maka haruslah diteliti dengan sesakma, bahwa y</w:t>
      </w:r>
      <w:r w:rsidR="00F367BE">
        <w:rPr>
          <w:color w:val="000000"/>
          <w:sz w:val="24"/>
          <w:szCs w:val="24"/>
        </w:rPr>
        <w:t xml:space="preserve">ang </w:t>
      </w:r>
      <w:r w:rsidR="00F367BE">
        <w:rPr>
          <w:color w:val="000000"/>
          <w:sz w:val="24"/>
          <w:szCs w:val="24"/>
        </w:rPr>
        <w:lastRenderedPageBreak/>
        <w:t>menjadi pusat pemberitaan k</w:t>
      </w:r>
      <w:r w:rsidR="00F367BE" w:rsidRPr="00DA7A38">
        <w:rPr>
          <w:color w:val="000000"/>
          <w:sz w:val="24"/>
          <w:szCs w:val="24"/>
        </w:rPr>
        <w:t>otbah adalah apa yang telah dilakukan Tuhan kepada manusia, dan bukan pengetahuan manusia tentang Tuhan.</w:t>
      </w:r>
      <w:r w:rsidR="00F367BE">
        <w:rPr>
          <w:rStyle w:val="FootnoteReference"/>
          <w:color w:val="000000"/>
          <w:sz w:val="24"/>
          <w:szCs w:val="24"/>
        </w:rPr>
        <w:footnoteReference w:id="29"/>
      </w:r>
    </w:p>
    <w:p w:rsidR="00790858" w:rsidRPr="00790858" w:rsidRDefault="00F367BE" w:rsidP="00F367BE">
      <w:pPr>
        <w:spacing w:line="360" w:lineRule="auto"/>
        <w:ind w:firstLine="709"/>
        <w:jc w:val="both"/>
        <w:rPr>
          <w:color w:val="000000"/>
          <w:sz w:val="24"/>
          <w:szCs w:val="24"/>
          <w:lang w:val="id-ID"/>
        </w:rPr>
      </w:pPr>
      <w:r>
        <w:rPr>
          <w:color w:val="000000"/>
          <w:sz w:val="24"/>
          <w:szCs w:val="24"/>
          <w:lang w:val="id-ID"/>
        </w:rPr>
        <w:t>B</w:t>
      </w:r>
      <w:r w:rsidR="00790858">
        <w:rPr>
          <w:color w:val="000000"/>
          <w:sz w:val="24"/>
          <w:szCs w:val="24"/>
          <w:lang w:val="id-ID"/>
        </w:rPr>
        <w:t>eberapa poin yang disampaikan adalah pengertian homiletika, pengertian khotbah, langkah-langkah menyiapkan khotbah dan menyiapkan susunan khotbah. Langkah-langkah yang digunakan dengan sistem o</w:t>
      </w:r>
      <w:r w:rsidR="00790858" w:rsidRPr="00790858">
        <w:rPr>
          <w:color w:val="000000"/>
          <w:sz w:val="24"/>
          <w:szCs w:val="24"/>
          <w:lang w:val="id-ID"/>
        </w:rPr>
        <w:t>knum-oknum</w:t>
      </w:r>
      <w:r w:rsidR="00790858">
        <w:rPr>
          <w:color w:val="000000"/>
          <w:sz w:val="24"/>
          <w:szCs w:val="24"/>
          <w:lang w:val="id-ID"/>
        </w:rPr>
        <w:t xml:space="preserve"> g</w:t>
      </w:r>
      <w:r w:rsidR="00790858" w:rsidRPr="00790858">
        <w:rPr>
          <w:color w:val="000000"/>
          <w:sz w:val="24"/>
          <w:szCs w:val="24"/>
          <w:lang w:val="id-ID"/>
        </w:rPr>
        <w:t>aris besar khotbah dengan sistem oknum-oknum (SOO) artinya semua garis besar khotbah yang ditampilkan diambil dengan memilih salah satu oknum yang diceritakan (tertulis) dalam satu perikop atau pasal Alkitab. Batasan untuk oknum ialah seorang pribadi yang dapat berpikir, merasa dan mempunyai kemauan.</w:t>
      </w:r>
      <w:r w:rsidR="00790858">
        <w:rPr>
          <w:color w:val="000000"/>
          <w:sz w:val="24"/>
          <w:szCs w:val="24"/>
          <w:lang w:val="id-ID"/>
        </w:rPr>
        <w:t xml:space="preserve"> </w:t>
      </w:r>
      <w:r w:rsidR="00790858" w:rsidRPr="00790858">
        <w:rPr>
          <w:color w:val="000000"/>
          <w:sz w:val="24"/>
          <w:szCs w:val="24"/>
          <w:lang w:val="id-ID"/>
        </w:rPr>
        <w:t>Pengkhotbah yang ingin mempersiapkan khotbah ekspositori dengan sistem oknom-oknum ada sepuluh langkah yang harus diikuti, yaitu</w:t>
      </w:r>
      <w:r>
        <w:rPr>
          <w:rStyle w:val="FootnoteReference"/>
          <w:color w:val="000000"/>
          <w:sz w:val="24"/>
          <w:szCs w:val="24"/>
        </w:rPr>
        <w:footnoteReference w:id="30"/>
      </w:r>
      <w:r w:rsidR="00790858" w:rsidRPr="00790858">
        <w:rPr>
          <w:color w:val="000000"/>
          <w:sz w:val="24"/>
          <w:szCs w:val="24"/>
          <w:lang w:val="id-ID"/>
        </w:rPr>
        <w:t>:</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1)</w:t>
      </w:r>
      <w:r w:rsidRPr="00790858">
        <w:rPr>
          <w:color w:val="000000"/>
          <w:sz w:val="24"/>
          <w:szCs w:val="24"/>
          <w:lang w:val="id-ID"/>
        </w:rPr>
        <w:tab/>
        <w:t>Memilih nas khotbah (satu perikop atau pasal, bersifat cerita atau narasi).</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2)</w:t>
      </w:r>
      <w:r w:rsidRPr="00790858">
        <w:rPr>
          <w:color w:val="000000"/>
          <w:sz w:val="24"/>
          <w:szCs w:val="24"/>
          <w:lang w:val="id-ID"/>
        </w:rPr>
        <w:tab/>
        <w:t>Mencatat oknum-oknum yang berhubungan dengan nas.</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3)</w:t>
      </w:r>
      <w:r w:rsidRPr="00790858">
        <w:rPr>
          <w:color w:val="000000"/>
          <w:sz w:val="24"/>
          <w:szCs w:val="24"/>
          <w:lang w:val="id-ID"/>
        </w:rPr>
        <w:tab/>
        <w:t>Memilih oknum yang akan kita khotbahkan.</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4)</w:t>
      </w:r>
      <w:r w:rsidRPr="00790858">
        <w:rPr>
          <w:color w:val="000000"/>
          <w:sz w:val="24"/>
          <w:szCs w:val="24"/>
          <w:lang w:val="id-ID"/>
        </w:rPr>
        <w:tab/>
        <w:t>Menulis semua fakta yang dinyatakan mengenai salah satu oknum di dalam nas.</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5)</w:t>
      </w:r>
      <w:r w:rsidRPr="00790858">
        <w:rPr>
          <w:color w:val="000000"/>
          <w:sz w:val="24"/>
          <w:szCs w:val="24"/>
          <w:lang w:val="id-ID"/>
        </w:rPr>
        <w:tab/>
        <w:t>Mencari kata kunci yang cocok dengan salah satu fakta.</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6)</w:t>
      </w:r>
      <w:r w:rsidRPr="00790858">
        <w:rPr>
          <w:color w:val="000000"/>
          <w:sz w:val="24"/>
          <w:szCs w:val="24"/>
          <w:lang w:val="id-ID"/>
        </w:rPr>
        <w:tab/>
        <w:t>Menentukan fakta-fakta sejajar yang cocok dengan fakta kata kunci itu.</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7)</w:t>
      </w:r>
      <w:r w:rsidRPr="00790858">
        <w:rPr>
          <w:color w:val="000000"/>
          <w:sz w:val="24"/>
          <w:szCs w:val="24"/>
          <w:lang w:val="id-ID"/>
        </w:rPr>
        <w:tab/>
        <w:t>Menetapkan tema khotbah dengan menentukan prinsip dasar fakta-fakta sejajar.</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8)</w:t>
      </w:r>
      <w:r w:rsidRPr="00790858">
        <w:rPr>
          <w:color w:val="000000"/>
          <w:sz w:val="24"/>
          <w:szCs w:val="24"/>
          <w:lang w:val="id-ID"/>
        </w:rPr>
        <w:tab/>
        <w:t>Menentukan tujuan khotbah berdasarkan tema khotbah dan fakta-fakta sejajar.</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9)</w:t>
      </w:r>
      <w:r w:rsidRPr="00790858">
        <w:rPr>
          <w:color w:val="000000"/>
          <w:sz w:val="24"/>
          <w:szCs w:val="24"/>
          <w:lang w:val="id-ID"/>
        </w:rPr>
        <w:tab/>
        <w:t>Menentukan keputusan yang diharapkan dari pendengar.</w:t>
      </w:r>
    </w:p>
    <w:p w:rsidR="00790858" w:rsidRPr="00790858" w:rsidRDefault="00790858" w:rsidP="00790858">
      <w:pPr>
        <w:spacing w:line="360" w:lineRule="auto"/>
        <w:jc w:val="both"/>
        <w:rPr>
          <w:color w:val="000000"/>
          <w:sz w:val="24"/>
          <w:szCs w:val="24"/>
          <w:lang w:val="id-ID"/>
        </w:rPr>
      </w:pPr>
      <w:r w:rsidRPr="00790858">
        <w:rPr>
          <w:color w:val="000000"/>
          <w:sz w:val="24"/>
          <w:szCs w:val="24"/>
          <w:lang w:val="id-ID"/>
        </w:rPr>
        <w:t>10)</w:t>
      </w:r>
      <w:r w:rsidRPr="00790858">
        <w:rPr>
          <w:color w:val="000000"/>
          <w:sz w:val="24"/>
          <w:szCs w:val="24"/>
          <w:lang w:val="id-ID"/>
        </w:rPr>
        <w:tab/>
        <w:t>Membuat kalimat kunci (KALKUN) khotbah</w:t>
      </w:r>
    </w:p>
    <w:p w:rsidR="00021972" w:rsidRDefault="00790858" w:rsidP="00021972">
      <w:pPr>
        <w:spacing w:line="360" w:lineRule="auto"/>
        <w:ind w:firstLine="720"/>
        <w:jc w:val="both"/>
        <w:rPr>
          <w:color w:val="000000"/>
          <w:sz w:val="24"/>
          <w:szCs w:val="24"/>
          <w:lang w:val="id-ID"/>
        </w:rPr>
      </w:pPr>
      <w:r>
        <w:rPr>
          <w:color w:val="000000"/>
          <w:sz w:val="24"/>
          <w:szCs w:val="24"/>
          <w:lang w:val="id-ID"/>
        </w:rPr>
        <w:t>Pertemuan kedua diakhiri dengan tanya jawab dan tugas yang diberikan kepada peserta. Tugasnya adalah membuat garis besar khotbah dengan sistem oknum-oknum dari nats: Lukas 7:1-10; Matius 15:21-28 dan Lukas 19:1-10.</w:t>
      </w:r>
    </w:p>
    <w:p w:rsidR="00A83897" w:rsidRDefault="00790858" w:rsidP="00A83897">
      <w:pPr>
        <w:spacing w:line="360" w:lineRule="auto"/>
        <w:ind w:firstLine="720"/>
        <w:jc w:val="both"/>
        <w:rPr>
          <w:color w:val="000000"/>
          <w:sz w:val="24"/>
          <w:szCs w:val="24"/>
          <w:lang w:val="id-ID"/>
        </w:rPr>
      </w:pPr>
      <w:r>
        <w:rPr>
          <w:color w:val="000000"/>
          <w:sz w:val="24"/>
          <w:szCs w:val="24"/>
          <w:lang w:val="id-ID"/>
        </w:rPr>
        <w:t xml:space="preserve">Pertemuan ketiga dimulai dengan </w:t>
      </w:r>
      <w:r w:rsidR="00A83897">
        <w:rPr>
          <w:color w:val="000000"/>
          <w:sz w:val="24"/>
          <w:szCs w:val="24"/>
          <w:lang w:val="id-ID"/>
        </w:rPr>
        <w:t>membahas tugas-tugas yang telah diberikan kemudian menjelaskan materi selanjutnya mengenai Khotbah dengan sistem kebenaran kekal. Adapun langkah-</w:t>
      </w:r>
      <w:r w:rsidR="00A83897" w:rsidRPr="00A83897">
        <w:rPr>
          <w:color w:val="000000"/>
          <w:sz w:val="24"/>
          <w:szCs w:val="24"/>
          <w:lang w:val="id-ID"/>
        </w:rPr>
        <w:t>langkah yang harus diikuti, yaitu:</w:t>
      </w:r>
      <w:r w:rsidR="00A83897">
        <w:rPr>
          <w:color w:val="000000"/>
          <w:sz w:val="24"/>
          <w:szCs w:val="24"/>
          <w:lang w:val="id-ID"/>
        </w:rPr>
        <w:t xml:space="preserve"> </w:t>
      </w:r>
      <w:r w:rsidR="00A83897">
        <w:rPr>
          <w:color w:val="000000"/>
          <w:sz w:val="24"/>
          <w:szCs w:val="24"/>
          <w:lang w:val="id-ID"/>
        </w:rPr>
        <w:tab/>
        <w:t>m</w:t>
      </w:r>
      <w:r w:rsidR="00A83897" w:rsidRPr="00A83897">
        <w:rPr>
          <w:color w:val="000000"/>
          <w:sz w:val="24"/>
          <w:szCs w:val="24"/>
          <w:lang w:val="id-ID"/>
        </w:rPr>
        <w:t>emilih nas kh</w:t>
      </w:r>
      <w:r w:rsidR="00A83897">
        <w:rPr>
          <w:color w:val="000000"/>
          <w:sz w:val="24"/>
          <w:szCs w:val="24"/>
          <w:lang w:val="id-ID"/>
        </w:rPr>
        <w:t>otbah (satu atau beberapa ayat), m</w:t>
      </w:r>
      <w:r w:rsidR="00A83897" w:rsidRPr="00A83897">
        <w:rPr>
          <w:color w:val="000000"/>
          <w:sz w:val="24"/>
          <w:szCs w:val="24"/>
          <w:lang w:val="id-ID"/>
        </w:rPr>
        <w:t>endaftarkan semua kebenaran kekal yang sudah terang</w:t>
      </w:r>
      <w:r w:rsidR="00A83897">
        <w:rPr>
          <w:color w:val="000000"/>
          <w:sz w:val="24"/>
          <w:szCs w:val="24"/>
          <w:lang w:val="id-ID"/>
        </w:rPr>
        <w:t xml:space="preserve">, </w:t>
      </w:r>
      <w:r w:rsidR="00A83897">
        <w:rPr>
          <w:color w:val="000000"/>
          <w:sz w:val="24"/>
          <w:szCs w:val="24"/>
          <w:lang w:val="id-ID"/>
        </w:rPr>
        <w:tab/>
        <w:t>m</w:t>
      </w:r>
      <w:r w:rsidR="00A83897" w:rsidRPr="00A83897">
        <w:rPr>
          <w:color w:val="000000"/>
          <w:sz w:val="24"/>
          <w:szCs w:val="24"/>
          <w:lang w:val="id-ID"/>
        </w:rPr>
        <w:t>encari kata KUNCI yang coco</w:t>
      </w:r>
      <w:r w:rsidR="00A83897">
        <w:rPr>
          <w:color w:val="000000"/>
          <w:sz w:val="24"/>
          <w:szCs w:val="24"/>
          <w:lang w:val="id-ID"/>
        </w:rPr>
        <w:t>k dengan sebuah kebenaran kekal, m</w:t>
      </w:r>
      <w:r w:rsidR="00A83897" w:rsidRPr="00A83897">
        <w:rPr>
          <w:color w:val="000000"/>
          <w:sz w:val="24"/>
          <w:szCs w:val="24"/>
          <w:lang w:val="id-ID"/>
        </w:rPr>
        <w:t>enentukan kebenaran-kebenaran kekal yang sejajar yang cocok dengan kata kunci</w:t>
      </w:r>
      <w:r w:rsidR="00A83897">
        <w:rPr>
          <w:color w:val="000000"/>
          <w:sz w:val="24"/>
          <w:szCs w:val="24"/>
          <w:lang w:val="id-ID"/>
        </w:rPr>
        <w:t>, menentukan kata tema nats, menentukan tujuan kotbah, m</w:t>
      </w:r>
      <w:r w:rsidR="00A83897" w:rsidRPr="00A83897">
        <w:rPr>
          <w:color w:val="000000"/>
          <w:sz w:val="24"/>
          <w:szCs w:val="24"/>
          <w:lang w:val="id-ID"/>
        </w:rPr>
        <w:t>enentukan keputusan</w:t>
      </w:r>
      <w:r w:rsidR="00A83897">
        <w:rPr>
          <w:color w:val="000000"/>
          <w:sz w:val="24"/>
          <w:szCs w:val="24"/>
          <w:lang w:val="id-ID"/>
        </w:rPr>
        <w:t xml:space="preserve"> yang diharapkan dari pendengar, m</w:t>
      </w:r>
      <w:r w:rsidR="00A83897" w:rsidRPr="00A83897">
        <w:rPr>
          <w:color w:val="000000"/>
          <w:sz w:val="24"/>
          <w:szCs w:val="24"/>
          <w:lang w:val="id-ID"/>
        </w:rPr>
        <w:t>embuat kalimat kunci (KALKUN) khotbah.</w:t>
      </w:r>
      <w:r w:rsidR="00A83897">
        <w:rPr>
          <w:color w:val="000000"/>
          <w:sz w:val="24"/>
          <w:szCs w:val="24"/>
          <w:lang w:val="id-ID"/>
        </w:rPr>
        <w:t xml:space="preserve"> Materi diselingi dengan pelatihan-pelatihan dan tanya jawab.</w:t>
      </w:r>
    </w:p>
    <w:p w:rsidR="00F367BE" w:rsidRDefault="00A83897" w:rsidP="00F367BE">
      <w:pPr>
        <w:spacing w:line="360" w:lineRule="auto"/>
        <w:ind w:firstLine="720"/>
        <w:jc w:val="both"/>
        <w:rPr>
          <w:color w:val="000000"/>
          <w:sz w:val="24"/>
          <w:szCs w:val="24"/>
          <w:lang w:val="id-ID"/>
        </w:rPr>
      </w:pPr>
      <w:r>
        <w:rPr>
          <w:color w:val="000000"/>
          <w:sz w:val="24"/>
          <w:szCs w:val="24"/>
          <w:lang w:val="id-ID"/>
        </w:rPr>
        <w:lastRenderedPageBreak/>
        <w:t xml:space="preserve">Pada pertemuan terakhir, peserta dilatih untuk membuat khotbah ekspositori dengan sistem tema nats. </w:t>
      </w:r>
      <w:r w:rsidRPr="00A83897">
        <w:rPr>
          <w:color w:val="000000"/>
          <w:sz w:val="24"/>
          <w:szCs w:val="24"/>
          <w:lang w:val="id-ID"/>
        </w:rPr>
        <w:t>Pengkhotbah yang ingin mempersiapkan khotbah ekspositori dengan Sistem Tema Nas ada delapan langkah yang harus diikuti, yaitu:</w:t>
      </w:r>
      <w:r>
        <w:rPr>
          <w:color w:val="000000"/>
          <w:sz w:val="24"/>
          <w:szCs w:val="24"/>
          <w:lang w:val="id-ID"/>
        </w:rPr>
        <w:t xml:space="preserve"> m</w:t>
      </w:r>
      <w:r w:rsidRPr="00A83897">
        <w:rPr>
          <w:color w:val="000000"/>
          <w:sz w:val="24"/>
          <w:szCs w:val="24"/>
          <w:lang w:val="id-ID"/>
        </w:rPr>
        <w:t>emilih nas kotbah</w:t>
      </w:r>
      <w:r>
        <w:rPr>
          <w:color w:val="000000"/>
          <w:sz w:val="24"/>
          <w:szCs w:val="24"/>
          <w:lang w:val="id-ID"/>
        </w:rPr>
        <w:t xml:space="preserve"> (satu perikop atau satu pasal), m</w:t>
      </w:r>
      <w:r w:rsidRPr="00A83897">
        <w:rPr>
          <w:color w:val="000000"/>
          <w:sz w:val="24"/>
          <w:szCs w:val="24"/>
          <w:lang w:val="id-ID"/>
        </w:rPr>
        <w:t>engarang Tema Nas (tema uta</w:t>
      </w:r>
      <w:r>
        <w:rPr>
          <w:color w:val="000000"/>
          <w:sz w:val="24"/>
          <w:szCs w:val="24"/>
          <w:lang w:val="id-ID"/>
        </w:rPr>
        <w:t>ma) dalam kalimat pendek, m</w:t>
      </w:r>
      <w:r w:rsidRPr="00A83897">
        <w:rPr>
          <w:color w:val="000000"/>
          <w:sz w:val="24"/>
          <w:szCs w:val="24"/>
          <w:lang w:val="id-ID"/>
        </w:rPr>
        <w:t xml:space="preserve">endaftarkan semua kebenaran kekal (bagian tema utama) yang sudah terang </w:t>
      </w:r>
      <w:r>
        <w:rPr>
          <w:color w:val="000000"/>
          <w:sz w:val="24"/>
          <w:szCs w:val="24"/>
          <w:lang w:val="id-ID"/>
        </w:rPr>
        <w:t>(gabungan 1 atau beberapa ayat), m</w:t>
      </w:r>
      <w:r w:rsidRPr="00A83897">
        <w:rPr>
          <w:color w:val="000000"/>
          <w:sz w:val="24"/>
          <w:szCs w:val="24"/>
          <w:lang w:val="id-ID"/>
        </w:rPr>
        <w:t>enentukan kebenaran-kebenara</w:t>
      </w:r>
      <w:r>
        <w:rPr>
          <w:color w:val="000000"/>
          <w:sz w:val="24"/>
          <w:szCs w:val="24"/>
          <w:lang w:val="id-ID"/>
        </w:rPr>
        <w:t>n kekal yang mendukung Tema Nas, m</w:t>
      </w:r>
      <w:r w:rsidRPr="00A83897">
        <w:rPr>
          <w:color w:val="000000"/>
          <w:sz w:val="24"/>
          <w:szCs w:val="24"/>
          <w:lang w:val="id-ID"/>
        </w:rPr>
        <w:t>encari kata KUNCI yang cocok dengan kebenaran-kebenaran kekal yang mendukung Tema</w:t>
      </w:r>
      <w:r>
        <w:rPr>
          <w:color w:val="000000"/>
          <w:sz w:val="24"/>
          <w:szCs w:val="24"/>
          <w:lang w:val="id-ID"/>
        </w:rPr>
        <w:t>, m</w:t>
      </w:r>
      <w:r w:rsidRPr="00A83897">
        <w:rPr>
          <w:color w:val="000000"/>
          <w:sz w:val="24"/>
          <w:szCs w:val="24"/>
          <w:lang w:val="id-ID"/>
        </w:rPr>
        <w:t>enentukan tujuan khotbah berdasarkan Tema Khotbah dan kebe</w:t>
      </w:r>
      <w:r>
        <w:rPr>
          <w:color w:val="000000"/>
          <w:sz w:val="24"/>
          <w:szCs w:val="24"/>
          <w:lang w:val="id-ID"/>
        </w:rPr>
        <w:t>naran-kebenaran kekal pendukung, m</w:t>
      </w:r>
      <w:r w:rsidRPr="00A83897">
        <w:rPr>
          <w:color w:val="000000"/>
          <w:sz w:val="24"/>
          <w:szCs w:val="24"/>
          <w:lang w:val="id-ID"/>
        </w:rPr>
        <w:t>enentukan keputusan</w:t>
      </w:r>
      <w:r>
        <w:rPr>
          <w:color w:val="000000"/>
          <w:sz w:val="24"/>
          <w:szCs w:val="24"/>
          <w:lang w:val="id-ID"/>
        </w:rPr>
        <w:t xml:space="preserve"> yang diharapkan dari pendengar, m</w:t>
      </w:r>
      <w:r w:rsidRPr="00A83897">
        <w:rPr>
          <w:color w:val="000000"/>
          <w:sz w:val="24"/>
          <w:szCs w:val="24"/>
          <w:lang w:val="id-ID"/>
        </w:rPr>
        <w:t>embuat kalimat kunci (KALKUN) khotbah</w:t>
      </w:r>
      <w:r>
        <w:rPr>
          <w:color w:val="000000"/>
          <w:sz w:val="24"/>
          <w:szCs w:val="24"/>
          <w:lang w:val="id-ID"/>
        </w:rPr>
        <w:t>.</w:t>
      </w:r>
    </w:p>
    <w:p w:rsidR="00F367BE" w:rsidRDefault="00F367BE" w:rsidP="00F367BE">
      <w:pPr>
        <w:spacing w:line="360" w:lineRule="auto"/>
        <w:ind w:firstLine="720"/>
        <w:jc w:val="both"/>
        <w:rPr>
          <w:color w:val="000000"/>
          <w:sz w:val="24"/>
          <w:szCs w:val="24"/>
        </w:rPr>
      </w:pPr>
      <w:r>
        <w:rPr>
          <w:color w:val="000000"/>
          <w:sz w:val="24"/>
          <w:szCs w:val="24"/>
        </w:rPr>
        <w:t>Materi kotbah yang sudah selesai dibuat, maka harus dikomunikasikan di mimbar.</w:t>
      </w:r>
      <w:r>
        <w:rPr>
          <w:rStyle w:val="FootnoteReference"/>
          <w:color w:val="000000"/>
          <w:sz w:val="24"/>
          <w:szCs w:val="24"/>
        </w:rPr>
        <w:footnoteReference w:id="31"/>
      </w:r>
      <w:r>
        <w:rPr>
          <w:color w:val="000000"/>
          <w:sz w:val="24"/>
          <w:szCs w:val="24"/>
        </w:rPr>
        <w:t xml:space="preserve"> Materi kotbah yang baik bila dikomunikasikan kurang baik di mimbar, maka jemaat yang mendengar akan kurang memahami atau mengerti.</w:t>
      </w:r>
      <w:r>
        <w:rPr>
          <w:rStyle w:val="FootnoteReference"/>
          <w:color w:val="000000"/>
          <w:sz w:val="24"/>
          <w:szCs w:val="24"/>
        </w:rPr>
        <w:footnoteReference w:id="32"/>
      </w:r>
      <w:r>
        <w:rPr>
          <w:color w:val="000000"/>
          <w:sz w:val="24"/>
          <w:szCs w:val="24"/>
        </w:rPr>
        <w:t xml:space="preserve"> Dengan demikian, maksud Firman Allah akan kurang tersampaikan.</w:t>
      </w:r>
      <w:r>
        <w:rPr>
          <w:rStyle w:val="FootnoteReference"/>
          <w:color w:val="000000"/>
          <w:sz w:val="24"/>
          <w:szCs w:val="24"/>
        </w:rPr>
        <w:footnoteReference w:id="33"/>
      </w:r>
    </w:p>
    <w:p w:rsidR="00F367BE" w:rsidRDefault="00F367BE" w:rsidP="00F367BE">
      <w:pPr>
        <w:spacing w:line="360" w:lineRule="auto"/>
        <w:ind w:firstLine="720"/>
        <w:jc w:val="both"/>
        <w:rPr>
          <w:color w:val="000000"/>
          <w:sz w:val="24"/>
          <w:szCs w:val="24"/>
        </w:rPr>
      </w:pPr>
      <w:r>
        <w:rPr>
          <w:color w:val="000000"/>
          <w:sz w:val="24"/>
          <w:szCs w:val="24"/>
        </w:rPr>
        <w:t>Oleh sebab itu prinsip-prinsip penting dalam komunikasi mimbar adalah:</w:t>
      </w:r>
      <w:r>
        <w:rPr>
          <w:rStyle w:val="FootnoteReference"/>
          <w:color w:val="000000"/>
          <w:sz w:val="24"/>
          <w:szCs w:val="24"/>
        </w:rPr>
        <w:footnoteReference w:id="34"/>
      </w:r>
      <w:r>
        <w:rPr>
          <w:color w:val="000000"/>
          <w:sz w:val="24"/>
          <w:szCs w:val="24"/>
        </w:rPr>
        <w:t xml:space="preserve"> 1) menguasai materi; 2) jelas bagi pengkotbah dan pendengar; 3) mengunakan kata-kata sederhana; 4) seimbang secara kognitif dan afektif; 5) garis besar yang disampaikan mudah diingat; 6) memainkan suara semaksimal mungkin; 7) mengunakan bahasa tubuh yang tepat;  8) berkotbah dengan tubuh yang sehat.</w:t>
      </w:r>
    </w:p>
    <w:p w:rsidR="00A83897" w:rsidRDefault="00A83897"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Default="00F367BE" w:rsidP="00A83897">
      <w:pPr>
        <w:spacing w:line="360" w:lineRule="auto"/>
        <w:ind w:firstLine="720"/>
        <w:jc w:val="both"/>
        <w:rPr>
          <w:color w:val="000000"/>
          <w:sz w:val="24"/>
          <w:szCs w:val="24"/>
          <w:lang w:val="id-ID"/>
        </w:rPr>
      </w:pPr>
    </w:p>
    <w:p w:rsidR="00F367BE" w:rsidRPr="00A83897" w:rsidRDefault="00F367BE" w:rsidP="00A83897">
      <w:pPr>
        <w:spacing w:line="360" w:lineRule="auto"/>
        <w:ind w:firstLine="720"/>
        <w:jc w:val="both"/>
        <w:rPr>
          <w:color w:val="000000"/>
          <w:sz w:val="24"/>
          <w:szCs w:val="24"/>
          <w:lang w:val="id-ID"/>
        </w:rPr>
      </w:pPr>
    </w:p>
    <w:p w:rsidR="00A83897" w:rsidRDefault="00A83897">
      <w:pPr>
        <w:pStyle w:val="Heading1"/>
        <w:tabs>
          <w:tab w:val="left" w:pos="749"/>
        </w:tabs>
        <w:spacing w:line="360" w:lineRule="auto"/>
        <w:ind w:left="0" w:right="38"/>
        <w:rPr>
          <w:b w:val="0"/>
          <w:sz w:val="20"/>
          <w:szCs w:val="20"/>
          <w:lang w:val="id-ID"/>
        </w:rPr>
      </w:pPr>
      <w:bookmarkStart w:id="1" w:name="_heading=h.gjdgxs" w:colFirst="0" w:colLast="0"/>
      <w:bookmarkEnd w:id="1"/>
      <w:r w:rsidRPr="00A83897">
        <w:rPr>
          <w:noProof/>
          <w:lang w:val="id-ID" w:bidi="ar-SA"/>
        </w:rPr>
        <w:lastRenderedPageBreak/>
        <w:drawing>
          <wp:anchor distT="0" distB="0" distL="114300" distR="114300" simplePos="0" relativeHeight="251660288" behindDoc="1" locked="0" layoutInCell="1" allowOverlap="1">
            <wp:simplePos x="0" y="0"/>
            <wp:positionH relativeFrom="column">
              <wp:posOffset>-14481</wp:posOffset>
            </wp:positionH>
            <wp:positionV relativeFrom="paragraph">
              <wp:posOffset>36146</wp:posOffset>
            </wp:positionV>
            <wp:extent cx="4207295" cy="3170712"/>
            <wp:effectExtent l="19050" t="0" r="2755" b="0"/>
            <wp:wrapNone/>
            <wp:docPr id="1" name="Picture 1" descr="C:\Users\Dell\Desktop\DOKUMEN PRODI\Laporan PkM\IMG-2022040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OKUMEN PRODI\Laporan PkM\IMG-20220407-WA0017.jpg"/>
                    <pic:cNvPicPr>
                      <a:picLocks noChangeAspect="1" noChangeArrowheads="1"/>
                    </pic:cNvPicPr>
                  </pic:nvPicPr>
                  <pic:blipFill>
                    <a:blip r:embed="rId12"/>
                    <a:srcRect/>
                    <a:stretch>
                      <a:fillRect/>
                    </a:stretch>
                  </pic:blipFill>
                  <pic:spPr bwMode="auto">
                    <a:xfrm>
                      <a:off x="0" y="0"/>
                      <a:ext cx="4207295" cy="3170712"/>
                    </a:xfrm>
                    <a:prstGeom prst="rect">
                      <a:avLst/>
                    </a:prstGeom>
                    <a:noFill/>
                    <a:ln w="9525">
                      <a:noFill/>
                      <a:miter lim="800000"/>
                      <a:headEnd/>
                      <a:tailEnd/>
                    </a:ln>
                  </pic:spPr>
                </pic:pic>
              </a:graphicData>
            </a:graphic>
          </wp:anchor>
        </w:drawing>
      </w: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A83897" w:rsidRDefault="00A83897">
      <w:pPr>
        <w:pStyle w:val="Heading1"/>
        <w:tabs>
          <w:tab w:val="left" w:pos="749"/>
        </w:tabs>
        <w:spacing w:line="360" w:lineRule="auto"/>
        <w:ind w:left="0" w:right="38"/>
        <w:rPr>
          <w:b w:val="0"/>
          <w:sz w:val="20"/>
          <w:szCs w:val="20"/>
          <w:lang w:val="id-ID"/>
        </w:rPr>
      </w:pPr>
    </w:p>
    <w:p w:rsidR="00121E50" w:rsidRPr="00A83897" w:rsidRDefault="00B05CFD">
      <w:pPr>
        <w:pStyle w:val="Heading1"/>
        <w:tabs>
          <w:tab w:val="left" w:pos="749"/>
        </w:tabs>
        <w:spacing w:line="360" w:lineRule="auto"/>
        <w:ind w:left="0" w:right="38"/>
        <w:rPr>
          <w:b w:val="0"/>
          <w:sz w:val="20"/>
          <w:szCs w:val="20"/>
          <w:lang w:val="id-ID"/>
        </w:rPr>
      </w:pPr>
      <w:r>
        <w:rPr>
          <w:b w:val="0"/>
          <w:sz w:val="20"/>
          <w:szCs w:val="20"/>
        </w:rPr>
        <w:t>Gambar 1</w:t>
      </w:r>
      <w:r w:rsidR="00A83897">
        <w:rPr>
          <w:b w:val="0"/>
          <w:sz w:val="20"/>
          <w:szCs w:val="20"/>
        </w:rPr>
        <w:t xml:space="preserve">. </w:t>
      </w:r>
      <w:r w:rsidR="00A83897">
        <w:rPr>
          <w:b w:val="0"/>
          <w:sz w:val="20"/>
          <w:szCs w:val="20"/>
          <w:lang w:val="id-ID"/>
        </w:rPr>
        <w:t>Peserta dan Pemateri Pelatihan</w:t>
      </w:r>
    </w:p>
    <w:p w:rsidR="00A82246" w:rsidRDefault="00A82246">
      <w:pPr>
        <w:pStyle w:val="Heading1"/>
        <w:tabs>
          <w:tab w:val="left" w:pos="749"/>
        </w:tabs>
        <w:spacing w:line="360" w:lineRule="auto"/>
        <w:ind w:left="0" w:right="38"/>
        <w:jc w:val="both"/>
        <w:rPr>
          <w:lang w:val="id-ID"/>
        </w:rPr>
      </w:pPr>
      <w:r>
        <w:rPr>
          <w:noProof/>
          <w:lang w:val="id-ID" w:bidi="ar-SA"/>
        </w:rPr>
        <w:drawing>
          <wp:anchor distT="0" distB="0" distL="114300" distR="114300" simplePos="0" relativeHeight="251662336" behindDoc="1" locked="0" layoutInCell="1" allowOverlap="1">
            <wp:simplePos x="0" y="0"/>
            <wp:positionH relativeFrom="column">
              <wp:posOffset>-14605</wp:posOffset>
            </wp:positionH>
            <wp:positionV relativeFrom="paragraph">
              <wp:posOffset>217170</wp:posOffset>
            </wp:positionV>
            <wp:extent cx="4205605" cy="3141345"/>
            <wp:effectExtent l="19050" t="0" r="4445" b="0"/>
            <wp:wrapNone/>
            <wp:docPr id="2" name="Picture 10" descr="C:\Users\Dell\Downloads\WhatsApp Image 2022-04-07 at 14.2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ownloads\WhatsApp Image 2022-04-07 at 14.21.53.jpeg"/>
                    <pic:cNvPicPr>
                      <a:picLocks noChangeAspect="1" noChangeArrowheads="1"/>
                    </pic:cNvPicPr>
                  </pic:nvPicPr>
                  <pic:blipFill>
                    <a:blip r:embed="rId13"/>
                    <a:srcRect/>
                    <a:stretch>
                      <a:fillRect/>
                    </a:stretch>
                  </pic:blipFill>
                  <pic:spPr bwMode="auto">
                    <a:xfrm>
                      <a:off x="0" y="0"/>
                      <a:ext cx="4205605" cy="3141345"/>
                    </a:xfrm>
                    <a:prstGeom prst="rect">
                      <a:avLst/>
                    </a:prstGeom>
                    <a:noFill/>
                    <a:ln w="9525">
                      <a:noFill/>
                      <a:miter lim="800000"/>
                      <a:headEnd/>
                      <a:tailEnd/>
                    </a:ln>
                  </pic:spPr>
                </pic:pic>
              </a:graphicData>
            </a:graphic>
          </wp:anchor>
        </w:drawing>
      </w: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Default="00A82246">
      <w:pPr>
        <w:pStyle w:val="Heading1"/>
        <w:tabs>
          <w:tab w:val="left" w:pos="749"/>
        </w:tabs>
        <w:spacing w:line="360" w:lineRule="auto"/>
        <w:ind w:left="0" w:right="38"/>
        <w:jc w:val="both"/>
        <w:rPr>
          <w:lang w:val="id-ID"/>
        </w:rPr>
      </w:pPr>
    </w:p>
    <w:p w:rsidR="00A82246" w:rsidRPr="00A83897" w:rsidRDefault="00A82246" w:rsidP="00A82246">
      <w:pPr>
        <w:pStyle w:val="Heading1"/>
        <w:tabs>
          <w:tab w:val="left" w:pos="749"/>
        </w:tabs>
        <w:spacing w:line="360" w:lineRule="auto"/>
        <w:ind w:left="0" w:right="38"/>
        <w:rPr>
          <w:b w:val="0"/>
          <w:sz w:val="20"/>
          <w:szCs w:val="20"/>
          <w:lang w:val="id-ID"/>
        </w:rPr>
      </w:pPr>
      <w:r>
        <w:rPr>
          <w:b w:val="0"/>
          <w:sz w:val="20"/>
          <w:szCs w:val="20"/>
        </w:rPr>
        <w:t xml:space="preserve">Gambar </w:t>
      </w:r>
      <w:r>
        <w:rPr>
          <w:b w:val="0"/>
          <w:sz w:val="20"/>
          <w:szCs w:val="20"/>
          <w:lang w:val="id-ID"/>
        </w:rPr>
        <w:t>2</w:t>
      </w:r>
      <w:r>
        <w:rPr>
          <w:b w:val="0"/>
          <w:sz w:val="20"/>
          <w:szCs w:val="20"/>
        </w:rPr>
        <w:t xml:space="preserve">. </w:t>
      </w:r>
      <w:r>
        <w:rPr>
          <w:b w:val="0"/>
          <w:sz w:val="20"/>
          <w:szCs w:val="20"/>
          <w:lang w:val="id-ID"/>
        </w:rPr>
        <w:t>Tim PkM dan Pemimpin Jemaat GKKI</w:t>
      </w:r>
    </w:p>
    <w:p w:rsidR="00A82246" w:rsidRDefault="00A82246">
      <w:pPr>
        <w:pStyle w:val="Heading1"/>
        <w:tabs>
          <w:tab w:val="left" w:pos="749"/>
        </w:tabs>
        <w:spacing w:line="360" w:lineRule="auto"/>
        <w:ind w:left="0" w:right="38"/>
        <w:jc w:val="both"/>
        <w:rPr>
          <w:lang w:val="id-ID"/>
        </w:rPr>
      </w:pPr>
    </w:p>
    <w:p w:rsidR="00A82246" w:rsidRPr="00A82246" w:rsidRDefault="00A82246">
      <w:pPr>
        <w:pStyle w:val="Heading1"/>
        <w:tabs>
          <w:tab w:val="left" w:pos="749"/>
        </w:tabs>
        <w:spacing w:line="360" w:lineRule="auto"/>
        <w:ind w:left="0" w:right="38"/>
        <w:jc w:val="both"/>
        <w:rPr>
          <w:lang w:val="id-ID"/>
        </w:rPr>
      </w:pPr>
    </w:p>
    <w:p w:rsidR="00121E50" w:rsidRDefault="00B05CFD">
      <w:pPr>
        <w:pStyle w:val="Heading1"/>
        <w:tabs>
          <w:tab w:val="left" w:pos="749"/>
        </w:tabs>
        <w:spacing w:line="360" w:lineRule="auto"/>
        <w:ind w:left="0" w:right="38"/>
        <w:jc w:val="both"/>
      </w:pPr>
      <w:r>
        <w:t>KESIMPULAN</w:t>
      </w:r>
    </w:p>
    <w:p w:rsidR="004574CB" w:rsidRPr="004574CB" w:rsidRDefault="004574CB" w:rsidP="004574CB">
      <w:pPr>
        <w:spacing w:line="360" w:lineRule="auto"/>
        <w:ind w:firstLine="720"/>
        <w:jc w:val="both"/>
        <w:rPr>
          <w:color w:val="000000"/>
          <w:sz w:val="24"/>
          <w:szCs w:val="24"/>
        </w:rPr>
      </w:pPr>
      <w:r>
        <w:rPr>
          <w:color w:val="000000"/>
          <w:sz w:val="24"/>
          <w:szCs w:val="24"/>
          <w:lang w:val="id-ID"/>
        </w:rPr>
        <w:t>Pelatihan yang dilakukan di GKKI Purworejo a</w:t>
      </w:r>
      <w:r w:rsidRPr="004574CB">
        <w:rPr>
          <w:color w:val="000000"/>
          <w:sz w:val="24"/>
          <w:szCs w:val="24"/>
        </w:rPr>
        <w:t xml:space="preserve">dalah </w:t>
      </w:r>
      <w:r>
        <w:rPr>
          <w:color w:val="000000"/>
          <w:sz w:val="24"/>
          <w:szCs w:val="24"/>
          <w:lang w:val="id-ID"/>
        </w:rPr>
        <w:t>bentuk</w:t>
      </w:r>
      <w:r w:rsidRPr="004574CB">
        <w:rPr>
          <w:color w:val="000000"/>
          <w:sz w:val="24"/>
          <w:szCs w:val="24"/>
        </w:rPr>
        <w:t xml:space="preserve"> dari Pengabdian kepada Masyarakat</w:t>
      </w:r>
      <w:r>
        <w:rPr>
          <w:color w:val="000000"/>
          <w:sz w:val="24"/>
          <w:szCs w:val="24"/>
          <w:lang w:val="id-ID"/>
        </w:rPr>
        <w:t xml:space="preserve"> </w:t>
      </w:r>
      <w:r w:rsidRPr="004574CB">
        <w:rPr>
          <w:color w:val="000000"/>
          <w:sz w:val="24"/>
          <w:szCs w:val="24"/>
        </w:rPr>
        <w:t>(PkM)</w:t>
      </w:r>
      <w:r>
        <w:rPr>
          <w:color w:val="000000"/>
          <w:sz w:val="24"/>
          <w:szCs w:val="24"/>
          <w:lang w:val="id-ID"/>
        </w:rPr>
        <w:t xml:space="preserve"> dan luaran dari penelitian dan pengajaran</w:t>
      </w:r>
      <w:r w:rsidRPr="004574CB">
        <w:rPr>
          <w:color w:val="000000"/>
          <w:sz w:val="24"/>
          <w:szCs w:val="24"/>
        </w:rPr>
        <w:t>. Hasil kegiatan ini</w:t>
      </w:r>
      <w:r>
        <w:rPr>
          <w:color w:val="000000"/>
          <w:sz w:val="24"/>
          <w:szCs w:val="24"/>
          <w:lang w:val="id-ID"/>
        </w:rPr>
        <w:t xml:space="preserve"> diharapkan</w:t>
      </w:r>
      <w:r w:rsidRPr="004574CB">
        <w:rPr>
          <w:color w:val="000000"/>
          <w:sz w:val="24"/>
          <w:szCs w:val="24"/>
        </w:rPr>
        <w:t xml:space="preserve"> memberikan</w:t>
      </w:r>
      <w:r>
        <w:rPr>
          <w:color w:val="000000"/>
          <w:sz w:val="24"/>
          <w:szCs w:val="24"/>
          <w:lang w:val="id-ID"/>
        </w:rPr>
        <w:t xml:space="preserve"> dampak yang baik </w:t>
      </w:r>
      <w:r w:rsidRPr="004574CB">
        <w:rPr>
          <w:color w:val="000000"/>
          <w:sz w:val="24"/>
          <w:szCs w:val="24"/>
        </w:rPr>
        <w:t>kepada hamba Tuhan khususnya</w:t>
      </w:r>
      <w:r>
        <w:rPr>
          <w:color w:val="000000"/>
          <w:sz w:val="24"/>
          <w:szCs w:val="24"/>
          <w:lang w:val="id-ID"/>
        </w:rPr>
        <w:t xml:space="preserve"> </w:t>
      </w:r>
      <w:r w:rsidRPr="004574CB">
        <w:rPr>
          <w:color w:val="000000"/>
          <w:sz w:val="24"/>
          <w:szCs w:val="24"/>
        </w:rPr>
        <w:t xml:space="preserve">dalam meningkatkan </w:t>
      </w:r>
      <w:r w:rsidRPr="004574CB">
        <w:rPr>
          <w:color w:val="000000"/>
          <w:sz w:val="24"/>
          <w:szCs w:val="24"/>
        </w:rPr>
        <w:lastRenderedPageBreak/>
        <w:t>keterampilan  dan  meningkatkan</w:t>
      </w:r>
      <w:r>
        <w:rPr>
          <w:color w:val="000000"/>
          <w:sz w:val="24"/>
          <w:szCs w:val="24"/>
          <w:lang w:val="id-ID"/>
        </w:rPr>
        <w:t xml:space="preserve"> </w:t>
      </w:r>
      <w:r w:rsidRPr="004574CB">
        <w:rPr>
          <w:color w:val="000000"/>
          <w:sz w:val="24"/>
          <w:szCs w:val="24"/>
        </w:rPr>
        <w:t xml:space="preserve"> </w:t>
      </w:r>
      <w:r>
        <w:rPr>
          <w:color w:val="000000"/>
          <w:sz w:val="24"/>
          <w:szCs w:val="24"/>
          <w:lang w:val="id-ID"/>
        </w:rPr>
        <w:t xml:space="preserve">pengetahuan </w:t>
      </w:r>
      <w:r w:rsidRPr="004574CB">
        <w:rPr>
          <w:color w:val="000000"/>
          <w:sz w:val="24"/>
          <w:szCs w:val="24"/>
        </w:rPr>
        <w:t xml:space="preserve">dalam </w:t>
      </w:r>
      <w:r>
        <w:rPr>
          <w:color w:val="000000"/>
          <w:sz w:val="24"/>
          <w:szCs w:val="24"/>
          <w:lang w:val="id-ID"/>
        </w:rPr>
        <w:t>menafsir Alkitab dan berkhotbah</w:t>
      </w:r>
      <w:r w:rsidRPr="004574CB">
        <w:rPr>
          <w:color w:val="000000"/>
          <w:sz w:val="24"/>
          <w:szCs w:val="24"/>
        </w:rPr>
        <w:t xml:space="preserve">.  </w:t>
      </w:r>
      <w:r w:rsidRPr="004574CB">
        <w:rPr>
          <w:color w:val="000000"/>
          <w:sz w:val="24"/>
          <w:szCs w:val="24"/>
        </w:rPr>
        <w:t xml:space="preserve">Pelatihan ini telah terlaksana dengan lancar dan sesuai dengan yang telah dipersiapkan. Pemimpin jemaat yang menghadiri pelatihan ini terlihat sangat antusias. Melalui pelatihan ini, mereka harapkan adanya </w:t>
      </w:r>
      <w:r>
        <w:rPr>
          <w:color w:val="000000"/>
          <w:sz w:val="24"/>
          <w:szCs w:val="24"/>
          <w:lang w:val="id-ID"/>
        </w:rPr>
        <w:t>kegiatan</w:t>
      </w:r>
      <w:r w:rsidRPr="004574CB">
        <w:rPr>
          <w:color w:val="000000"/>
          <w:sz w:val="24"/>
          <w:szCs w:val="24"/>
        </w:rPr>
        <w:t xml:space="preserve"> yang akan dilakukan lagi untuk tahun-tahun yang akan datang.</w:t>
      </w:r>
    </w:p>
    <w:p w:rsidR="00121E50" w:rsidRDefault="00121E50">
      <w:pPr>
        <w:spacing w:line="360" w:lineRule="auto"/>
        <w:ind w:firstLine="720"/>
        <w:jc w:val="both"/>
        <w:rPr>
          <w:sz w:val="24"/>
          <w:szCs w:val="24"/>
        </w:rPr>
      </w:pPr>
    </w:p>
    <w:p w:rsidR="00121E50" w:rsidRDefault="00B05CFD">
      <w:pPr>
        <w:spacing w:line="360" w:lineRule="auto"/>
        <w:rPr>
          <w:b/>
          <w:sz w:val="24"/>
          <w:szCs w:val="24"/>
        </w:rPr>
      </w:pPr>
      <w:r>
        <w:rPr>
          <w:b/>
          <w:sz w:val="24"/>
          <w:szCs w:val="24"/>
        </w:rPr>
        <w:t>SARAN DAN UCAPAN TERIMA KASIH (jika ada)</w:t>
      </w:r>
    </w:p>
    <w:p w:rsidR="004574CB" w:rsidRPr="00C8523F" w:rsidRDefault="00C8523F" w:rsidP="004574CB">
      <w:pPr>
        <w:spacing w:line="360" w:lineRule="auto"/>
        <w:ind w:firstLine="720"/>
        <w:jc w:val="both"/>
        <w:rPr>
          <w:sz w:val="24"/>
          <w:szCs w:val="24"/>
          <w:lang w:val="id-ID"/>
        </w:rPr>
      </w:pPr>
      <w:r>
        <w:rPr>
          <w:sz w:val="24"/>
          <w:szCs w:val="24"/>
          <w:lang w:val="id-ID"/>
        </w:rPr>
        <w:t>Tim PkM mengucapkan terimaksih</w:t>
      </w:r>
      <w:r w:rsidRPr="00C8523F">
        <w:rPr>
          <w:sz w:val="24"/>
          <w:szCs w:val="24"/>
          <w:lang w:val="id-ID"/>
        </w:rPr>
        <w:t xml:space="preserve"> kepada </w:t>
      </w:r>
      <w:r>
        <w:rPr>
          <w:sz w:val="24"/>
          <w:szCs w:val="24"/>
          <w:lang w:val="id-ID"/>
        </w:rPr>
        <w:t xml:space="preserve">GKKI Purworejo yang telah bekerja sama sehingga terlaksananya </w:t>
      </w:r>
      <w:r w:rsidRPr="00C8523F">
        <w:rPr>
          <w:sz w:val="24"/>
          <w:szCs w:val="24"/>
          <w:lang w:val="id-ID"/>
        </w:rPr>
        <w:t xml:space="preserve">PkM ini. </w:t>
      </w:r>
      <w:r w:rsidR="004574CB">
        <w:rPr>
          <w:sz w:val="24"/>
          <w:szCs w:val="24"/>
          <w:lang w:val="id-ID"/>
        </w:rPr>
        <w:t>Pelatihan ini diharapkan memberikan</w:t>
      </w:r>
      <w:r w:rsidRPr="00C8523F">
        <w:rPr>
          <w:sz w:val="24"/>
          <w:szCs w:val="24"/>
          <w:lang w:val="id-ID"/>
        </w:rPr>
        <w:t xml:space="preserve"> kontribusi </w:t>
      </w:r>
      <w:r w:rsidR="004574CB">
        <w:rPr>
          <w:sz w:val="24"/>
          <w:szCs w:val="24"/>
          <w:lang w:val="id-ID"/>
        </w:rPr>
        <w:t>yang baik dalam pengetahuan dan keterampilan menafsir Alkitab dan berkhotbah.</w:t>
      </w:r>
      <w:r w:rsidRPr="00C8523F">
        <w:rPr>
          <w:sz w:val="24"/>
          <w:szCs w:val="24"/>
          <w:lang w:val="id-ID"/>
        </w:rPr>
        <w:t xml:space="preserve"> </w:t>
      </w:r>
      <w:r w:rsidR="004574CB">
        <w:rPr>
          <w:sz w:val="24"/>
          <w:szCs w:val="24"/>
          <w:lang w:val="id-ID"/>
        </w:rPr>
        <w:t>Kami juga berterimakasih kepada</w:t>
      </w:r>
      <w:r w:rsidRPr="00C8523F">
        <w:rPr>
          <w:sz w:val="24"/>
          <w:szCs w:val="24"/>
          <w:lang w:val="id-ID"/>
        </w:rPr>
        <w:t xml:space="preserve"> </w:t>
      </w:r>
      <w:r w:rsidR="004574CB">
        <w:rPr>
          <w:sz w:val="24"/>
          <w:szCs w:val="24"/>
          <w:lang w:val="id-ID"/>
        </w:rPr>
        <w:t xml:space="preserve">Program Studi Teologi Sekolah Tinggi Teologi Studi Alkitab untuk Pengembangan Pedesaan Indonesia (STT SAPPI) yang telah membantu </w:t>
      </w:r>
      <w:r w:rsidRPr="00C8523F">
        <w:rPr>
          <w:sz w:val="24"/>
          <w:szCs w:val="24"/>
          <w:lang w:val="id-ID"/>
        </w:rPr>
        <w:t xml:space="preserve">baik secara  materi  maupun  non-materil dalam  pelaksanaannya. </w:t>
      </w:r>
    </w:p>
    <w:p w:rsidR="004574CB" w:rsidRPr="004574CB" w:rsidRDefault="004574CB">
      <w:pPr>
        <w:spacing w:line="360" w:lineRule="auto"/>
        <w:rPr>
          <w:sz w:val="24"/>
          <w:szCs w:val="24"/>
          <w:lang w:val="id-ID"/>
        </w:rPr>
      </w:pPr>
    </w:p>
    <w:p w:rsidR="00121E50" w:rsidRDefault="00B05CFD">
      <w:pPr>
        <w:spacing w:line="360" w:lineRule="auto"/>
        <w:rPr>
          <w:b/>
          <w:sz w:val="24"/>
          <w:szCs w:val="24"/>
        </w:rPr>
      </w:pPr>
      <w:r>
        <w:rPr>
          <w:b/>
          <w:sz w:val="24"/>
          <w:szCs w:val="24"/>
        </w:rPr>
        <w:t>DAFTAR PUSTAKA</w:t>
      </w:r>
    </w:p>
    <w:p w:rsidR="00F367BE" w:rsidRPr="00F367BE" w:rsidRDefault="00F367BE" w:rsidP="00F367BE">
      <w:pPr>
        <w:adjustRightInd w:val="0"/>
        <w:spacing w:after="120"/>
        <w:ind w:left="480" w:hanging="480"/>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F367BE">
        <w:rPr>
          <w:noProof/>
          <w:sz w:val="24"/>
          <w:szCs w:val="24"/>
        </w:rPr>
        <w:t xml:space="preserve">Boiliu, Ibrahim, Aeron Frior Sihombing, Christina M Samosir, and Fredy Simanjuntak. “Mengajarkan Pendidikan Karakter Melalui Matius 5 : 6-12.” </w:t>
      </w:r>
      <w:r w:rsidRPr="00F367BE">
        <w:rPr>
          <w:i/>
          <w:iCs/>
          <w:noProof/>
          <w:sz w:val="24"/>
          <w:szCs w:val="24"/>
        </w:rPr>
        <w:t>KURIOS (Jurnal Teologi dan Pendidikan Agama Kristen)</w:t>
      </w:r>
      <w:r w:rsidRPr="00F367BE">
        <w:rPr>
          <w:noProof/>
          <w:sz w:val="24"/>
          <w:szCs w:val="24"/>
        </w:rPr>
        <w:t xml:space="preserve"> (2020).</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Glowasky, Michael. “The Author Is the Meaning: Narrative in Augustine’s Hermeneutics.” </w:t>
      </w:r>
      <w:r w:rsidRPr="00F367BE">
        <w:rPr>
          <w:i/>
          <w:iCs/>
          <w:noProof/>
          <w:sz w:val="24"/>
          <w:szCs w:val="24"/>
        </w:rPr>
        <w:t>Scottish Journal of Theology</w:t>
      </w:r>
      <w:r w:rsidRPr="00F367BE">
        <w:rPr>
          <w:noProof/>
          <w:sz w:val="24"/>
          <w:szCs w:val="24"/>
        </w:rPr>
        <w:t xml:space="preserve"> 71, no. 2 (May 8, 2018): 159–175. https://www.cambridge.org/core/product/identifier/S0036930618000054/type/journal_article.</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Hutauruk, Marlan, Hotliong Verawaty, and Dortheys H. E. Fureuw Mandobar. “Komunikasi Dan Khotbah.” </w:t>
      </w:r>
      <w:r w:rsidRPr="00F367BE">
        <w:rPr>
          <w:i/>
          <w:iCs/>
          <w:noProof/>
          <w:sz w:val="24"/>
          <w:szCs w:val="24"/>
        </w:rPr>
        <w:t>Tepian: Jurnal Misiologi dan Komunikasi Kristen</w:t>
      </w:r>
      <w:r w:rsidRPr="00F367BE">
        <w:rPr>
          <w:noProof/>
          <w:sz w:val="24"/>
          <w:szCs w:val="24"/>
        </w:rPr>
        <w:t xml:space="preserve"> 1, no. 1 (2021): 16–24.</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Ludji, Barnabas. “Umat Dalam Konteks Sosial Politik Menurut Perjanjian Lama.” </w:t>
      </w:r>
      <w:r w:rsidRPr="00F367BE">
        <w:rPr>
          <w:i/>
          <w:iCs/>
          <w:noProof/>
          <w:sz w:val="24"/>
          <w:szCs w:val="24"/>
        </w:rPr>
        <w:t>LENSA: Jurnal Sekolah Tinggi Teologi Cipanas</w:t>
      </w:r>
      <w:r w:rsidRPr="00F367BE">
        <w:rPr>
          <w:noProof/>
          <w:sz w:val="24"/>
          <w:szCs w:val="24"/>
        </w:rPr>
        <w:t xml:space="preserve"> 2, no. 2 (2005): 35–48.</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OEI, AMOS WINARTO. “KHOTBAH YANG KONTEKSTUAL : MEMURIDKAN PARA PENGKHOTBAH UNTUK MEMURIDKAN JEMAAT.” </w:t>
      </w:r>
      <w:r w:rsidRPr="00F367BE">
        <w:rPr>
          <w:i/>
          <w:iCs/>
          <w:noProof/>
          <w:sz w:val="24"/>
          <w:szCs w:val="24"/>
        </w:rPr>
        <w:t>SOLA GRATIA: Jurnal Teologi Biblika dan Praktika</w:t>
      </w:r>
      <w:r w:rsidRPr="00F367BE">
        <w:rPr>
          <w:noProof/>
          <w:sz w:val="24"/>
          <w:szCs w:val="24"/>
        </w:rPr>
        <w:t xml:space="preserve"> 5, no. 1 (February 2020).</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Pellokila, Ireni Irnawati, and Maria Indriani Sesfao. “Pelatihan Pemanfaatan Media Panggung Boneka Bagi Guru Sekolah Minggu.” </w:t>
      </w:r>
      <w:r w:rsidRPr="00F367BE">
        <w:rPr>
          <w:i/>
          <w:iCs/>
          <w:noProof/>
          <w:sz w:val="24"/>
          <w:szCs w:val="24"/>
        </w:rPr>
        <w:t>Real Coster : Jurnal Pengabdian kepada Masyarakat</w:t>
      </w:r>
      <w:r w:rsidRPr="00F367BE">
        <w:rPr>
          <w:noProof/>
          <w:sz w:val="24"/>
          <w:szCs w:val="24"/>
        </w:rPr>
        <w:t xml:space="preserve"> 4, no. 2 (March 31, 2022): 74–86. https://ojs.sttrealbatam.ac.id/index.php/coster/article/view/144.</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Rey, Kevin Tonny. “Khotbah Pengajaran Versus Khotbah Kontemporer.” </w:t>
      </w:r>
      <w:r w:rsidRPr="00F367BE">
        <w:rPr>
          <w:i/>
          <w:iCs/>
          <w:noProof/>
          <w:sz w:val="24"/>
          <w:szCs w:val="24"/>
        </w:rPr>
        <w:t>DUNAMIS: Jurnal Penelitian Teologi dan Pendidikan Kristiani</w:t>
      </w:r>
      <w:r w:rsidRPr="00F367BE">
        <w:rPr>
          <w:noProof/>
          <w:sz w:val="24"/>
          <w:szCs w:val="24"/>
        </w:rPr>
        <w:t xml:space="preserve"> 1, no. 1 (September 2016): 31.</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Saly, Jansakti Saddu, and Hasahatan Hutahaean. “PENGARUH KHOTBAH DALAM IBADAH MINGGU TERHADAP KEDEWASAAN IMAN JEMAAT DI GKSI MERAUKE.” </w:t>
      </w:r>
      <w:r w:rsidRPr="00F367BE">
        <w:rPr>
          <w:i/>
          <w:iCs/>
          <w:noProof/>
          <w:sz w:val="24"/>
          <w:szCs w:val="24"/>
        </w:rPr>
        <w:t>VISIO DEI: JURNAL TEOLOGI KRISTEN</w:t>
      </w:r>
      <w:r w:rsidRPr="00F367BE">
        <w:rPr>
          <w:noProof/>
          <w:sz w:val="24"/>
          <w:szCs w:val="24"/>
        </w:rPr>
        <w:t xml:space="preserve"> 2, no. 2 (December 2020): </w:t>
      </w:r>
      <w:r w:rsidRPr="00F367BE">
        <w:rPr>
          <w:noProof/>
          <w:sz w:val="24"/>
          <w:szCs w:val="24"/>
        </w:rPr>
        <w:lastRenderedPageBreak/>
        <w:t>225–243.</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Santoso, Dwi Setio Budiono. “Peran Khotbah Gembala Sidang Dalam Pertumbuhan Rohani Jemaat.” </w:t>
      </w:r>
      <w:r w:rsidRPr="00F367BE">
        <w:rPr>
          <w:i/>
          <w:iCs/>
          <w:noProof/>
          <w:sz w:val="24"/>
          <w:szCs w:val="24"/>
        </w:rPr>
        <w:t>MAGNUM OPUS: Jurnal Teologi dan Kepemimpinan Kristen</w:t>
      </w:r>
      <w:r w:rsidRPr="00F367BE">
        <w:rPr>
          <w:noProof/>
          <w:sz w:val="24"/>
          <w:szCs w:val="24"/>
        </w:rPr>
        <w:t xml:space="preserve"> 1, no. 2 (June 2020): 88–97.</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Shercliff, Liz. “Towards a New Homiletic.” </w:t>
      </w:r>
      <w:r w:rsidRPr="00F367BE">
        <w:rPr>
          <w:i/>
          <w:iCs/>
          <w:noProof/>
          <w:sz w:val="24"/>
          <w:szCs w:val="24"/>
        </w:rPr>
        <w:t>Feminist Theology</w:t>
      </w:r>
      <w:r w:rsidRPr="00F367BE">
        <w:rPr>
          <w:noProof/>
          <w:sz w:val="24"/>
          <w:szCs w:val="24"/>
        </w:rPr>
        <w:t xml:space="preserve"> 29, no. 1 (September 11, 2020): 48–60. http://journals.sagepub.com/doi/10.1177/0966735020944894.</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Sibarani, Mortan. “DESKRIPSI TENTANG KHOTBAH YANG BERKUASA SECARA ALKITABIAH.” </w:t>
      </w:r>
      <w:r w:rsidRPr="00F367BE">
        <w:rPr>
          <w:i/>
          <w:iCs/>
          <w:noProof/>
          <w:sz w:val="24"/>
          <w:szCs w:val="24"/>
        </w:rPr>
        <w:t>Phronesis: Jurnal Teologi dan Misi</w:t>
      </w:r>
      <w:r w:rsidRPr="00F367BE">
        <w:rPr>
          <w:noProof/>
          <w:sz w:val="24"/>
          <w:szCs w:val="24"/>
        </w:rPr>
        <w:t xml:space="preserve"> 1, no. 1 (July 14, 2020): 83–96. https://jurnal.sttsetia.ac.id/index.php/phr/article/view/7.</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Silalahi, Haposan. “Historical Grammatical: Sebuah Metode Hermeneutik Dalam Menemukan Makna Yang Tersembunyi Dalam Teks-Teks Alkitab.” </w:t>
      </w:r>
      <w:r w:rsidRPr="00F367BE">
        <w:rPr>
          <w:i/>
          <w:iCs/>
          <w:noProof/>
          <w:sz w:val="24"/>
          <w:szCs w:val="24"/>
        </w:rPr>
        <w:t>Te Deum</w:t>
      </w:r>
      <w:r w:rsidRPr="00F367BE">
        <w:rPr>
          <w:noProof/>
          <w:sz w:val="24"/>
          <w:szCs w:val="24"/>
        </w:rPr>
        <w:t xml:space="preserve"> 8, no. 1 (2018).</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Sproul, R. C. </w:t>
      </w:r>
      <w:r w:rsidRPr="00F367BE">
        <w:rPr>
          <w:i/>
          <w:iCs/>
          <w:noProof/>
          <w:sz w:val="24"/>
          <w:szCs w:val="24"/>
        </w:rPr>
        <w:t>Knowing Scripture</w:t>
      </w:r>
      <w:r w:rsidRPr="00F367BE">
        <w:rPr>
          <w:noProof/>
          <w:sz w:val="24"/>
          <w:szCs w:val="24"/>
        </w:rPr>
        <w:t>. Illinois: InterVarsity Press, 2009.</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Sunarto. “Integritas Seorang Pengkhotbah Dan Kualitas Khotbah Dalam Pemberitaan Firman Tuhan.” </w:t>
      </w:r>
      <w:r w:rsidRPr="00F367BE">
        <w:rPr>
          <w:i/>
          <w:iCs/>
          <w:noProof/>
          <w:sz w:val="24"/>
          <w:szCs w:val="24"/>
        </w:rPr>
        <w:t>TE DEUM (Jurnal Teologi dan Pengembangan Pelayanan)</w:t>
      </w:r>
      <w:r w:rsidRPr="00F367BE">
        <w:rPr>
          <w:noProof/>
          <w:sz w:val="24"/>
          <w:szCs w:val="24"/>
        </w:rPr>
        <w:t xml:space="preserve"> 7, no. 1 (April 2021): 77–99.</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 “Materi Khotbah Dan Komunikasi Mimbar.” </w:t>
      </w:r>
      <w:r w:rsidRPr="00F367BE">
        <w:rPr>
          <w:i/>
          <w:iCs/>
          <w:noProof/>
          <w:sz w:val="24"/>
          <w:szCs w:val="24"/>
        </w:rPr>
        <w:t>TE DEUM (Jurnal Teologi dan Pengembangan Pelayanan)</w:t>
      </w:r>
      <w:r w:rsidRPr="00F367BE">
        <w:rPr>
          <w:noProof/>
          <w:sz w:val="24"/>
          <w:szCs w:val="24"/>
        </w:rPr>
        <w:t xml:space="preserve"> 7, no. 2 (April 8, 2021): 179–199. https://ojs.sttsappi.ac.id/index.php/tedeum/article/view/50.</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 </w:t>
      </w:r>
      <w:r w:rsidRPr="00F367BE">
        <w:rPr>
          <w:i/>
          <w:iCs/>
          <w:noProof/>
          <w:sz w:val="24"/>
          <w:szCs w:val="24"/>
        </w:rPr>
        <w:t>Materi Pembelajaran Hermeneutika Dan Homilitika</w:t>
      </w:r>
      <w:r w:rsidRPr="00F367BE">
        <w:rPr>
          <w:noProof/>
          <w:sz w:val="24"/>
          <w:szCs w:val="24"/>
        </w:rPr>
        <w:t>. Cianjur, 2022.</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 “Pengkhotbah Dan Peranan Roh Kudus Dalam Berkhotbah.” </w:t>
      </w:r>
      <w:r w:rsidRPr="00F367BE">
        <w:rPr>
          <w:i/>
          <w:iCs/>
          <w:noProof/>
          <w:sz w:val="24"/>
          <w:szCs w:val="24"/>
        </w:rPr>
        <w:t>TE DEUM (Jurnal Teologi dan Pengembangan Pelayanan)</w:t>
      </w:r>
      <w:r w:rsidRPr="00F367BE">
        <w:rPr>
          <w:noProof/>
          <w:sz w:val="24"/>
          <w:szCs w:val="24"/>
        </w:rPr>
        <w:t xml:space="preserve"> 5, no. 2 (April 27, 2021): 251–272. https://ojs.sttsappi.ac.id/index.php/tedeum/article/view/109.</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Tari, Ezra, Lanny I.D. Koroh, Umar Ali, Martin Ch. Liufeto, and Talita Tlonaen. “Pendampingan Menulis Penelitian Tindakan Kelas Di Larantuka, Flores Timur.” </w:t>
      </w:r>
      <w:r w:rsidRPr="00F367BE">
        <w:rPr>
          <w:i/>
          <w:iCs/>
          <w:noProof/>
          <w:sz w:val="24"/>
          <w:szCs w:val="24"/>
        </w:rPr>
        <w:t>Real Coster : Jurnal Pengabdian kepada Masyarakat</w:t>
      </w:r>
      <w:r w:rsidRPr="00F367BE">
        <w:rPr>
          <w:noProof/>
          <w:sz w:val="24"/>
          <w:szCs w:val="24"/>
        </w:rPr>
        <w:t xml:space="preserve"> 4, no. 2 (March 31, 2022): 43–51. https://ojs.sttrealbatam.ac.id/index.php/coster/article/view/145.</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Waruwu, Adelius, Junior Natan Silalahi, Abraham Johannis, and Haposan Siahaan. “Korelasi Khotbah Ekspositori Dan Antusias Jemaat Dalam Beribadah Di GBI Mawar Sharon Cileungsi.” </w:t>
      </w:r>
      <w:r w:rsidRPr="00F367BE">
        <w:rPr>
          <w:i/>
          <w:iCs/>
          <w:noProof/>
          <w:sz w:val="24"/>
          <w:szCs w:val="24"/>
        </w:rPr>
        <w:t>CARAKA: Jurnal Teologi Biblika dan Praktika</w:t>
      </w:r>
      <w:r w:rsidRPr="00F367BE">
        <w:rPr>
          <w:noProof/>
          <w:sz w:val="24"/>
          <w:szCs w:val="24"/>
        </w:rPr>
        <w:t xml:space="preserve"> 1, no. 1 (May 2020): 52–64.</w:t>
      </w:r>
    </w:p>
    <w:p w:rsidR="00F367BE" w:rsidRPr="00F367BE" w:rsidRDefault="00F367BE" w:rsidP="00F367BE">
      <w:pPr>
        <w:adjustRightInd w:val="0"/>
        <w:spacing w:after="120"/>
        <w:ind w:left="480" w:hanging="480"/>
        <w:rPr>
          <w:noProof/>
          <w:sz w:val="24"/>
          <w:szCs w:val="24"/>
        </w:rPr>
      </w:pPr>
      <w:r w:rsidRPr="00F367BE">
        <w:rPr>
          <w:noProof/>
          <w:sz w:val="24"/>
          <w:szCs w:val="24"/>
        </w:rPr>
        <w:t xml:space="preserve">Zuck, Roy B. </w:t>
      </w:r>
      <w:r w:rsidRPr="00F367BE">
        <w:rPr>
          <w:i/>
          <w:iCs/>
          <w:noProof/>
          <w:sz w:val="24"/>
          <w:szCs w:val="24"/>
        </w:rPr>
        <w:t>Basic Bible Interpretation</w:t>
      </w:r>
      <w:r w:rsidRPr="00F367BE">
        <w:rPr>
          <w:noProof/>
          <w:sz w:val="24"/>
          <w:szCs w:val="24"/>
        </w:rPr>
        <w:t>. Colorado Spring: David C. Cook, 1991.</w:t>
      </w:r>
    </w:p>
    <w:p w:rsidR="00F367BE" w:rsidRPr="00F367BE" w:rsidRDefault="00F367BE" w:rsidP="00F367BE">
      <w:pPr>
        <w:adjustRightInd w:val="0"/>
        <w:spacing w:after="120"/>
        <w:ind w:left="480" w:hanging="480"/>
        <w:rPr>
          <w:noProof/>
          <w:sz w:val="24"/>
        </w:rPr>
      </w:pPr>
      <w:r w:rsidRPr="00F367BE">
        <w:rPr>
          <w:noProof/>
          <w:sz w:val="24"/>
          <w:szCs w:val="24"/>
        </w:rPr>
        <w:t xml:space="preserve">———. </w:t>
      </w:r>
      <w:r w:rsidRPr="00F367BE">
        <w:rPr>
          <w:i/>
          <w:iCs/>
          <w:noProof/>
          <w:sz w:val="24"/>
          <w:szCs w:val="24"/>
        </w:rPr>
        <w:t>Hermeneutik: Basic Bible Interpretation</w:t>
      </w:r>
      <w:r w:rsidRPr="00F367BE">
        <w:rPr>
          <w:noProof/>
          <w:sz w:val="24"/>
          <w:szCs w:val="24"/>
        </w:rPr>
        <w:t>. Malang: Gandum Mas, 2014.</w:t>
      </w:r>
    </w:p>
    <w:p w:rsidR="00121E50" w:rsidRDefault="00F367BE" w:rsidP="00F367BE">
      <w:pPr>
        <w:adjustRightInd w:val="0"/>
        <w:spacing w:after="120"/>
        <w:ind w:left="480" w:hanging="480"/>
        <w:jc w:val="both"/>
        <w:rPr>
          <w:sz w:val="24"/>
          <w:szCs w:val="24"/>
        </w:rPr>
      </w:pPr>
      <w:r>
        <w:rPr>
          <w:sz w:val="24"/>
          <w:szCs w:val="24"/>
        </w:rPr>
        <w:fldChar w:fldCharType="end"/>
      </w:r>
    </w:p>
    <w:sectPr w:rsidR="00121E50" w:rsidSect="00121E50">
      <w:footerReference w:type="first" r:id="rId14"/>
      <w:pgSz w:w="11906" w:h="16838"/>
      <w:pgMar w:top="1701" w:right="1418" w:bottom="1701" w:left="141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35B" w:rsidRDefault="00FB435B" w:rsidP="00121E50">
      <w:r>
        <w:separator/>
      </w:r>
    </w:p>
  </w:endnote>
  <w:endnote w:type="continuationSeparator" w:id="1">
    <w:p w:rsidR="00FB435B" w:rsidRDefault="00FB435B" w:rsidP="00121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stria">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E50" w:rsidRDefault="00121E50">
    <w:pPr>
      <w:tabs>
        <w:tab w:val="center" w:pos="4513"/>
        <w:tab w:val="left" w:pos="5366"/>
      </w:tabs>
      <w:rPr>
        <w:sz w:val="24"/>
        <w:szCs w:val="24"/>
        <w:u w:val="single"/>
      </w:rPr>
    </w:pPr>
  </w:p>
  <w:p w:rsidR="00121E50" w:rsidRDefault="00121E50">
    <w:pPr>
      <w:pBdr>
        <w:top w:val="nil"/>
        <w:left w:val="nil"/>
        <w:bottom w:val="nil"/>
        <w:right w:val="nil"/>
        <w:between w:val="nil"/>
      </w:pBdr>
      <w:tabs>
        <w:tab w:val="center" w:pos="4513"/>
        <w:tab w:val="right" w:pos="9026"/>
      </w:tabs>
      <w:jc w:val="right"/>
      <w:rPr>
        <w:color w:val="000000"/>
        <w:sz w:val="24"/>
        <w:szCs w:val="24"/>
      </w:rPr>
    </w:pPr>
  </w:p>
  <w:p w:rsidR="00121E50" w:rsidRDefault="00121E50">
    <w:pPr>
      <w:pBdr>
        <w:top w:val="nil"/>
        <w:left w:val="nil"/>
        <w:bottom w:val="nil"/>
        <w:right w:val="nil"/>
        <w:between w:val="nil"/>
      </w:pBdr>
      <w:tabs>
        <w:tab w:val="center" w:pos="4513"/>
        <w:tab w:val="right" w:pos="9026"/>
      </w:tabs>
      <w:rPr>
        <w:color w:val="000000"/>
        <w:sz w:val="24"/>
        <w:szCs w:val="24"/>
      </w:rPr>
    </w:pPr>
  </w:p>
  <w:p w:rsidR="00121E50" w:rsidRDefault="00121E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35B" w:rsidRDefault="00FB435B" w:rsidP="00121E50">
      <w:r>
        <w:separator/>
      </w:r>
    </w:p>
  </w:footnote>
  <w:footnote w:type="continuationSeparator" w:id="1">
    <w:p w:rsidR="00FB435B" w:rsidRDefault="00FB435B" w:rsidP="00121E50">
      <w:r>
        <w:continuationSeparator/>
      </w:r>
    </w:p>
  </w:footnote>
  <w:footnote w:id="2">
    <w:p w:rsidR="0010367C" w:rsidRPr="00F367BE" w:rsidRDefault="0010367C"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Pr="00F367BE">
        <w:rPr>
          <w:rFonts w:ascii="Times New Roman" w:hAnsi="Times New Roman" w:cs="Times New Roman"/>
        </w:rPr>
        <w:fldChar w:fldCharType="begin" w:fldLock="1"/>
      </w:r>
      <w:r w:rsidR="007B496D" w:rsidRPr="00F367BE">
        <w:rPr>
          <w:rFonts w:ascii="Times New Roman" w:hAnsi="Times New Roman" w:cs="Times New Roman"/>
        </w:rPr>
        <w:instrText>ADDIN CSL_CITATION {"citationItems":[{"id":"ITEM-1","itemData":{"DOI":"10.1177/0966735020944894","ISSN":"0966-7350","abstract":"Feminism’s contribution to homiletics so far has arguably been restricted to exploring gender difference in preaching. In 2014, however, Jennifer Copeland identified a need not merely to ‘include women “in the company of preachers” but to craft a new register for the preaching event’. This article considers what that new register might be and how it might be taught in the academy. It defines preaching as ‘the art of engaging the people of God in their shared narrative by creatively and hospitably inviting them into an exploration of biblical text, by means of which, corporately and individually, they might encounter the divine’ and proposes that in both the Church and the Academy, women’s voices are suppressed by a rationalist hegemony. For the stories of women to be heard, a new homiletic is needed, in which would-be preachers first encounter themselves, then the Bible as themselves and finally their congregation in communality. Findings of researchers in practical preaching discover that women preachers are being influenced by feminist methodology, while the teaching of preaching is not. In order to achieve a hospitable preaching space, it is proposed that the Church and the Academy work together towards a new homiletic.","author":[{"dropping-particle":"","family":"Shercliff","given":"Liz","non-dropping-particle":"","parse-names":false,"suffix":""}],"container-title":"Feminist Theology","id":"ITEM-1","issue":"1","issued":{"date-parts":[["2020","9","11"]]},"page":"48-60","title":"Towards a New Homiletic","type":"article-journal","volume":"29"},"uris":["http://www.mendeley.com/documents/?uuid=3610207f-d228-4f55-a86d-8a9e9f36afdb"]}],"mendeley":{"formattedCitation":"Liz Shercliff, “Towards a New Homiletic,” &lt;i&gt;Feminist Theology&lt;/i&gt; 29, no. 1 (September 11, 2020): 48–60, http://journals.sagepub.com/doi/10.1177/0966735020944894.","plainTextFormattedCitation":"Liz Shercliff, “Towards a New Homiletic,” Feminist Theology 29, no. 1 (September 11, 2020): 48–60, http://journals.sagepub.com/doi/10.1177/0966735020944894.","previouslyFormattedCitation":"Liz Shercliff, “Towards a New Homiletic,” &lt;i&gt;Feminist Theology&lt;/i&gt; 29, no. 1 (September 11, 2020): 48–60, http://journals.sagepub.com/doi/10.1177/0966735020944894."},"properties":{"noteIndex":1},"schema":"https://github.com/citation-style-language/schema/raw/master/csl-citation.json"}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Liz Shercliff, “Towards a New Homiletic,” </w:t>
      </w:r>
      <w:r w:rsidRPr="00F367BE">
        <w:rPr>
          <w:rFonts w:ascii="Times New Roman" w:hAnsi="Times New Roman" w:cs="Times New Roman"/>
          <w:i/>
          <w:noProof/>
        </w:rPr>
        <w:t>Feminist Theology</w:t>
      </w:r>
      <w:r w:rsidRPr="00F367BE">
        <w:rPr>
          <w:rFonts w:ascii="Times New Roman" w:hAnsi="Times New Roman" w:cs="Times New Roman"/>
          <w:noProof/>
        </w:rPr>
        <w:t xml:space="preserve"> 29, no. 1 (September 11, 2020): 48–60, http://journals.sagepub.com/doi/10.1177/0966735020944894.</w:t>
      </w:r>
      <w:r w:rsidRPr="00F367BE">
        <w:rPr>
          <w:rFonts w:ascii="Times New Roman" w:hAnsi="Times New Roman" w:cs="Times New Roman"/>
        </w:rPr>
        <w:fldChar w:fldCharType="end"/>
      </w:r>
    </w:p>
  </w:footnote>
  <w:footnote w:id="3">
    <w:p w:rsidR="00F35399" w:rsidRPr="00F367BE" w:rsidRDefault="00F35399"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00A66B2F" w:rsidRPr="00F367BE">
        <w:rPr>
          <w:rFonts w:ascii="Times New Roman" w:hAnsi="Times New Roman" w:cs="Times New Roman"/>
        </w:rPr>
        <w:fldChar w:fldCharType="begin" w:fldLock="1"/>
      </w:r>
      <w:r w:rsidR="0010367C" w:rsidRPr="00F367BE">
        <w:rPr>
          <w:rFonts w:ascii="Times New Roman" w:hAnsi="Times New Roman" w:cs="Times New Roman"/>
        </w:rPr>
        <w:instrText>ADDIN CSL_CITATION {"citationItems":[{"id":"ITEM-1","itemData":{"DOI":"10.1017/S0036930618000054","ISSN":"0036-9306","abstract":"The parallel between Augustine's preoccupation with language and the ‘linguistic turn’ of the last century has made him a valuable figure in recent discussions on hermeneutics and meaning. Still, he has yet to be brought into serious conversation with contemporary narrative hermeneutics. In this essay, I contend that narrative hermeneutics provides a lens through which we can appreciate the important role narrative plays in Augustine's hermeneutics and, in particular, how it shapes his account of meaning. Rather than casting his perception of meaning as a static reality that lies completely beyond the text, recognising the place of narrative in his thought allows us to appreciate the dynamic and personal aspects of meaning which it produces.","author":[{"dropping-particle":"","family":"Glowasky","given":"Michael","non-dropping-particle":"","parse-names":false,"suffix":""}],"container-title":"Scottish Journal of Theology","id":"ITEM-1","issue":"2","issued":{"date-parts":[["2018","5","8"]]},"page":"159-175","title":"The author is the meaning: narrative in Augustine's hermeneutics","type":"article-journal","volume":"71"},"locator":"159","uris":["http://www.mendeley.com/documents/?uuid=28286619-43c9-4d95-8c23-ac0f09aeb5e0"]}],"mendeley":{"formattedCitation":"Michael Glowasky, “The Author Is the Meaning: Narrative in Augustine’s Hermeneutics,” &lt;i&gt;Scottish Journal of Theology&lt;/i&gt; 71, no. 2 (May 8, 2018): 159, https://www.cambridge.org/core/product/identifier/S0036930618000054/type/journal_article.","plainTextFormattedCitation":"Michael Glowasky, “The Author Is the Meaning: Narrative in Augustine’s Hermeneutics,” Scottish Journal of Theology 71, no. 2 (May 8, 2018): 159, https://www.cambridge.org/core/product/identifier/S0036930618000054/type/journal_article.","previouslyFormattedCitation":"Michael Glowasky, “The Author Is the Meaning: Narrative in Augustine’s Hermeneutics,” &lt;i&gt;Scottish Journal of Theology&lt;/i&gt; 71, no. 2 (May 8, 2018): 159, https://www.cambridge.org/core/product/identifier/S0036930618000054/type/journal_article."},"properties":{"noteIndex":2},"schema":"https://github.com/citation-style-language/schema/raw/master/csl-citation.json"}</w:instrText>
      </w:r>
      <w:r w:rsidR="00A66B2F" w:rsidRPr="00F367BE">
        <w:rPr>
          <w:rFonts w:ascii="Times New Roman" w:hAnsi="Times New Roman" w:cs="Times New Roman"/>
        </w:rPr>
        <w:fldChar w:fldCharType="separate"/>
      </w:r>
      <w:r w:rsidR="00D4729F" w:rsidRPr="00F367BE">
        <w:rPr>
          <w:rFonts w:ascii="Times New Roman" w:hAnsi="Times New Roman" w:cs="Times New Roman"/>
          <w:noProof/>
        </w:rPr>
        <w:t xml:space="preserve">Michael Glowasky, “The Author Is the Meaning: Narrative in Augustine’s Hermeneutics,” </w:t>
      </w:r>
      <w:r w:rsidR="00D4729F" w:rsidRPr="00F367BE">
        <w:rPr>
          <w:rFonts w:ascii="Times New Roman" w:hAnsi="Times New Roman" w:cs="Times New Roman"/>
          <w:i/>
          <w:noProof/>
        </w:rPr>
        <w:t>Scottish Journal of Theology</w:t>
      </w:r>
      <w:r w:rsidR="00D4729F" w:rsidRPr="00F367BE">
        <w:rPr>
          <w:rFonts w:ascii="Times New Roman" w:hAnsi="Times New Roman" w:cs="Times New Roman"/>
          <w:noProof/>
        </w:rPr>
        <w:t xml:space="preserve"> 71, no. 2 (May 8, 2018): 159, https://www.cambridge.org/core/product/identifier/S0036930618000054/type/journal_article.</w:t>
      </w:r>
      <w:r w:rsidR="00A66B2F" w:rsidRPr="00F367BE">
        <w:rPr>
          <w:rFonts w:ascii="Times New Roman" w:hAnsi="Times New Roman" w:cs="Times New Roman"/>
        </w:rPr>
        <w:fldChar w:fldCharType="end"/>
      </w:r>
    </w:p>
  </w:footnote>
  <w:footnote w:id="4">
    <w:p w:rsidR="00224E22" w:rsidRPr="00F367BE" w:rsidRDefault="00224E22"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00A66B2F" w:rsidRPr="00F367BE">
        <w:rPr>
          <w:rFonts w:ascii="Times New Roman" w:hAnsi="Times New Roman" w:cs="Times New Roman"/>
        </w:rPr>
        <w:fldChar w:fldCharType="begin" w:fldLock="1"/>
      </w:r>
      <w:r w:rsidR="0010367C" w:rsidRPr="00F367BE">
        <w:rPr>
          <w:rFonts w:ascii="Times New Roman" w:hAnsi="Times New Roman" w:cs="Times New Roman"/>
        </w:rPr>
        <w:instrText>ADDIN CSL_CITATION {"citationItems":[{"id":"ITEM-1","itemData":{"author":[{"dropping-particle":"","family":"Sproul","given":"R. C.","non-dropping-particle":"","parse-names":false,"suffix":""}],"id":"ITEM-1","issued":{"date-parts":[["2009"]]},"publisher":"InterVarsity Press","publisher-place":"Illinois","title":"Knowing Scripture","type":"book"},"locator":"10","uris":["http://www.mendeley.com/documents/?uuid=0fbb53bb-bfaa-4199-8a3f-1fd86ad437d3"]}],"mendeley":{"formattedCitation":"R. C. Sproul, &lt;i&gt;Knowing Scripture&lt;/i&gt; (Illinois: InterVarsity Press, 2009), 10.","plainTextFormattedCitation":"R. C. Sproul, Knowing Scripture (Illinois: InterVarsity Press, 2009), 10.","previouslyFormattedCitation":"R. C. Sproul, &lt;i&gt;Knowing Scripture&lt;/i&gt; (Illinois: InterVarsity Press, 2009), 10."},"properties":{"noteIndex":3},"schema":"https://github.com/citation-style-language/schema/raw/master/csl-citation.json"}</w:instrText>
      </w:r>
      <w:r w:rsidR="00A66B2F" w:rsidRPr="00F367BE">
        <w:rPr>
          <w:rFonts w:ascii="Times New Roman" w:hAnsi="Times New Roman" w:cs="Times New Roman"/>
        </w:rPr>
        <w:fldChar w:fldCharType="separate"/>
      </w:r>
      <w:r w:rsidRPr="00F367BE">
        <w:rPr>
          <w:rFonts w:ascii="Times New Roman" w:hAnsi="Times New Roman" w:cs="Times New Roman"/>
          <w:noProof/>
        </w:rPr>
        <w:t xml:space="preserve">R. C. Sproul, </w:t>
      </w:r>
      <w:r w:rsidRPr="00F367BE">
        <w:rPr>
          <w:rFonts w:ascii="Times New Roman" w:hAnsi="Times New Roman" w:cs="Times New Roman"/>
          <w:i/>
          <w:noProof/>
        </w:rPr>
        <w:t>Knowing Scripture</w:t>
      </w:r>
      <w:r w:rsidRPr="00F367BE">
        <w:rPr>
          <w:rFonts w:ascii="Times New Roman" w:hAnsi="Times New Roman" w:cs="Times New Roman"/>
          <w:noProof/>
        </w:rPr>
        <w:t xml:space="preserve"> (Illinois: InterVarsity Press, 2009), 10.</w:t>
      </w:r>
      <w:r w:rsidR="00A66B2F" w:rsidRPr="00F367BE">
        <w:rPr>
          <w:rFonts w:ascii="Times New Roman" w:hAnsi="Times New Roman" w:cs="Times New Roman"/>
        </w:rPr>
        <w:fldChar w:fldCharType="end"/>
      </w:r>
    </w:p>
  </w:footnote>
  <w:footnote w:id="5">
    <w:p w:rsidR="00224E22" w:rsidRPr="00F367BE" w:rsidRDefault="00224E22"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00A66B2F" w:rsidRPr="00F367BE">
        <w:rPr>
          <w:rFonts w:ascii="Times New Roman" w:hAnsi="Times New Roman" w:cs="Times New Roman"/>
        </w:rPr>
        <w:fldChar w:fldCharType="begin" w:fldLock="1"/>
      </w:r>
      <w:r w:rsidR="0010367C" w:rsidRPr="00F367BE">
        <w:rPr>
          <w:rFonts w:ascii="Times New Roman" w:hAnsi="Times New Roman" w:cs="Times New Roman"/>
        </w:rPr>
        <w:instrText>ADDIN CSL_CITATION {"citationItems":[{"id":"ITEM-1","itemData":{"author":[{"dropping-particle":"","family":"Zuck","given":"Roy B.","non-dropping-particle":"","parse-names":false,"suffix":""}],"id":"ITEM-1","issued":{"date-parts":[["1991"]]},"publisher":"David C. Cook","publisher-place":"Colorado Spring","title":"Basic Bible Interpretation","type":"book"},"locator":"7","uris":["http://www.mendeley.com/documents/?uuid=63fc9102-5476-4b3d-b0e8-d3803cbb775d"]}],"mendeley":{"formattedCitation":"Roy B. Zuck, &lt;i&gt;Basic Bible Interpretation&lt;/i&gt; (Colorado Spring: David C. Cook, 1991), 7.","plainTextFormattedCitation":"Roy B. Zuck, Basic Bible Interpretation (Colorado Spring: David C. Cook, 1991), 7.","previouslyFormattedCitation":"Roy B. Zuck, &lt;i&gt;Basic Bible Interpretation&lt;/i&gt; (Colorado Spring: David C. Cook, 1991), 7."},"properties":{"noteIndex":4},"schema":"https://github.com/citation-style-language/schema/raw/master/csl-citation.json"}</w:instrText>
      </w:r>
      <w:r w:rsidR="00A66B2F" w:rsidRPr="00F367BE">
        <w:rPr>
          <w:rFonts w:ascii="Times New Roman" w:hAnsi="Times New Roman" w:cs="Times New Roman"/>
        </w:rPr>
        <w:fldChar w:fldCharType="separate"/>
      </w:r>
      <w:r w:rsidRPr="00F367BE">
        <w:rPr>
          <w:rFonts w:ascii="Times New Roman" w:hAnsi="Times New Roman" w:cs="Times New Roman"/>
          <w:noProof/>
        </w:rPr>
        <w:t xml:space="preserve">Roy B. Zuck, </w:t>
      </w:r>
      <w:r w:rsidRPr="00F367BE">
        <w:rPr>
          <w:rFonts w:ascii="Times New Roman" w:hAnsi="Times New Roman" w:cs="Times New Roman"/>
          <w:i/>
          <w:noProof/>
        </w:rPr>
        <w:t>Basic Bible Interpretation</w:t>
      </w:r>
      <w:r w:rsidRPr="00F367BE">
        <w:rPr>
          <w:rFonts w:ascii="Times New Roman" w:hAnsi="Times New Roman" w:cs="Times New Roman"/>
          <w:noProof/>
        </w:rPr>
        <w:t xml:space="preserve"> (Colorado Spring: David C. Cook, 1991), 7.</w:t>
      </w:r>
      <w:r w:rsidR="00A66B2F" w:rsidRPr="00F367BE">
        <w:rPr>
          <w:rFonts w:ascii="Times New Roman" w:hAnsi="Times New Roman" w:cs="Times New Roman"/>
        </w:rPr>
        <w:fldChar w:fldCharType="end"/>
      </w:r>
    </w:p>
  </w:footnote>
  <w:footnote w:id="6">
    <w:p w:rsidR="00F367BE" w:rsidRPr="00F367BE" w:rsidRDefault="00F367BE"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{"citationItems":[{"id":"ITEM-1","itemData":{"ISBN":"1065621080243","abstract":"Latar belakang dari masalah dalam penelitian ini adalah terjadinya perubahan pada generasi saat ini karena media massa yang mengubah pola pikir, perilaku, dan kebiasaan pemuda saat ini, disertai dengan pendidikan yang cenderung didasarkan pada pengetahuan atau kognitif. Semua ini akan meng- akibatkan manusia tidak manusia. Dengan demikian, pendidikan karakter yang diajarkan Yesus melalui khotbah ucapan bahagia di bukit merupakan pengajaran berbasis karakter yang berpusat pada meniru Kristus, yang mengikuti jejak atau langkah Kristus dalam kehidupan siswa Kristen Indonesia. Kerangka pemikiran atau pandangan dunia ini adalah apa yang pendidikan karakter Kristen. Dengan demikian, penelitian ini akan menggunakan metode asynchronous yaitu untuk penafsir apa yang dikatakan dalam teks Matius 5:6-12. I.","author":[{"dropping-particle":"","family":"Boiliu","given":"Ibrahim","non-dropping-particle":"","parse-names":false,"suffix":""},{"dropping-particle":"","family":"Sihombing","given":"Aeron Frior","non-dropping-particle":"","parse-names":false,"suffix":""},{"dropping-particle":"","family":"Samosir","given":"Christina M","non-dropping-particle":"","parse-names":false,"suffix":""},{"dropping-particle":"","family":"Simanjuntak","given":"Fredy","non-dropping-particle":"","parse-names":false,"suffix":""}],"container-title":"KURIOS (Jurnal Teologi dan Pendidikan Agama Kristen)","id":"ITEM-1","issued":{"date-parts":[["2020"]]},"title":"Mengajarkan Pendidikan Karakter Melalui Matius 5 : 6-12","type":"article-journal"},"uris":["http://www.mendeley.com/documents/?uuid=1ea8de93-77a0-40d6-82a7-b45ebd2333a8"]}],"mendeley":{"formattedCitation":"Ibrahim Boiliu et al., “Mengajarkan Pendidikan Karakter Melalui Matius 5 : 6-12,” &lt;i&gt;KURIOS (Jurnal Teologi dan Pendidikan Agama Kristen)&lt;/i&gt; (2020).","plainTextFormattedCitation":"Ibrahim Boiliu et al., “Mengajarkan Pendidikan Karakter Melalui Matius 5 : 6-12,” KURIOS (Jurnal Teologi dan Pendidikan Agama Kristen) (2020)."},"properties":{"noteIndex":5},"schema":"https://github.com/citation-style-language/schema/raw/master/csl-citation.json"}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Ibrahim Boiliu et al., “Mengajarkan Pendidikan Karakter Melalui Matius 5 : 6-12,” </w:t>
      </w:r>
      <w:r w:rsidRPr="00F367BE">
        <w:rPr>
          <w:rFonts w:ascii="Times New Roman" w:hAnsi="Times New Roman" w:cs="Times New Roman"/>
          <w:i/>
          <w:noProof/>
        </w:rPr>
        <w:t>KURIOS (Jurnal Teologi dan Pendidikan Agama Kristen)</w:t>
      </w:r>
      <w:r w:rsidRPr="00F367BE">
        <w:rPr>
          <w:rFonts w:ascii="Times New Roman" w:hAnsi="Times New Roman" w:cs="Times New Roman"/>
          <w:noProof/>
        </w:rPr>
        <w:t xml:space="preserve"> (2020).</w:t>
      </w:r>
      <w:r w:rsidRPr="00F367BE">
        <w:rPr>
          <w:rFonts w:ascii="Times New Roman" w:hAnsi="Times New Roman" w:cs="Times New Roman"/>
        </w:rPr>
        <w:fldChar w:fldCharType="end"/>
      </w:r>
    </w:p>
  </w:footnote>
  <w:footnote w:id="7">
    <w:p w:rsidR="007B496D" w:rsidRPr="00F367BE" w:rsidRDefault="007B496D"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Pr="00F367BE">
        <w:rPr>
          <w:rFonts w:ascii="Times New Roman" w:hAnsi="Times New Roman" w:cs="Times New Roman"/>
        </w:rPr>
        <w:fldChar w:fldCharType="begin" w:fldLock="1"/>
      </w:r>
      <w:r w:rsidR="00F367BE" w:rsidRPr="00F367BE">
        <w:rPr>
          <w:rFonts w:ascii="Times New Roman" w:hAnsi="Times New Roman" w:cs="Times New Roman"/>
        </w:rPr>
        <w:instrText>ADDIN CSL_CITATION {"citationItems":[{"id":"ITEM-1","itemData":{"DOI":"10.47457/phr.v1i1.7","ISSN":"2723-6617","abstract":"Khotbah di dalam ibadah Kristen adalah menjadi suatu yang terpenting dan terutama dari semua rangkaian ibadah. Baik di gereja maupun di persekutuan umat Kristen. Khotbah merupakan pusat dalam ibadah Kristen. Berkhotbah adalah sebuah tugas rohani yang penting dan mulia. Khotbah adalah suatu proses yang membangun pengkhotbah dan jemaat, tidak ada penjelasan yang seolah bisa menangkap kedinamisan ini. Untuk itu\\seorang pengkhotbah adalah seorang yang dipanggil Tuhan dan dipercayai umat Tuhan untuk menjelaskan firman-Nya.","author":[{"dropping-particle":"","family":"Sibarani","given":"Mortan","non-dropping-particle":"","parse-names":false,"suffix":""}],"container-title":"Phronesis: Jurnal Teologi dan Misi","id":"ITEM-1","issue":"1","issued":{"date-parts":[["2020","7","14"]]},"page":"83-96","title":"DESKRIPSI TENTANG KHOTBAH YANG BERKUASA SECARA ALKITABIAH","type":"article-journal","volume":"1"},"locator":"89-90","uris":["http://www.mendeley.com/documents/?uuid=af18cd6e-32fe-49d7-8c35-afdce10a13ad"]}],"mendeley":{"formattedCitation":"Mortan Sibarani, “DESKRIPSI TENTANG KHOTBAH YANG BERKUASA SECARA ALKITABIAH,” &lt;i&gt;Phronesis: Jurnal Teologi dan Misi&lt;/i&gt; 1, no. 1 (July 14, 2020): 89–90, https://jurnal.sttsetia.ac.id/index.php/phr/article/view/7.","plainTextFormattedCitation":"Mortan Sibarani, “DESKRIPSI TENTANG KHOTBAH YANG BERKUASA SECARA ALKITABIAH,” Phronesis: Jurnal Teologi dan Misi 1, no. 1 (July 14, 2020): 89–90, https://jurnal.sttsetia.ac.id/index.php/phr/article/view/7.","previouslyFormattedCitation":"Mortan Sibarani, “DESKRIPSI TENTANG KHOTBAH YANG BERKUASA SECARA ALKITABIAH,” &lt;i&gt;Phronesis: Jurnal Teologi dan Misi&lt;/i&gt; 1, no. 1 (July 14, 2020): 89–90, https://jurnal.sttsetia.ac.id/index.php/phr/article/view/7."},"properties":{"noteIndex":6},"schema":"https://github.com/citation-style-language/schema/raw/master/csl-citation.json"}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Mortan Sibarani, “DESKRIPSI TENTANG KHOTBAH YANG BERKUASA SECARA ALKITABIAH,” </w:t>
      </w:r>
      <w:r w:rsidRPr="00F367BE">
        <w:rPr>
          <w:rFonts w:ascii="Times New Roman" w:hAnsi="Times New Roman" w:cs="Times New Roman"/>
          <w:i/>
          <w:noProof/>
        </w:rPr>
        <w:t>Phronesis: Jurnal Teologi dan Misi</w:t>
      </w:r>
      <w:r w:rsidRPr="00F367BE">
        <w:rPr>
          <w:rFonts w:ascii="Times New Roman" w:hAnsi="Times New Roman" w:cs="Times New Roman"/>
          <w:noProof/>
        </w:rPr>
        <w:t xml:space="preserve"> 1, no. 1 (July 14, 2020): 89–90, https://jurnal.sttsetia.ac.id/index.php/phr/article/view/7.</w:t>
      </w:r>
      <w:r w:rsidRPr="00F367BE">
        <w:rPr>
          <w:rFonts w:ascii="Times New Roman" w:hAnsi="Times New Roman" w:cs="Times New Roman"/>
        </w:rPr>
        <w:fldChar w:fldCharType="end"/>
      </w:r>
    </w:p>
  </w:footnote>
  <w:footnote w:id="8">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{"citationItems":[{"id":"ITEM-1","itemData":{"DOI":"10.35909/visiodei.v2i2.165","ISSN":"2685-3795","abstract":"Penelitian ini bertujuan untuk mengetahui pengaruh khotbah dalam ibadah Minggu terhadap kedewasaan iman jemaat di Gereja Kristen Setia Indonesia (GKSI) Merauke. Metode yang digunakan adalah kuantitatif. Hipotesisnya adalah terdapat pengaruh yang positif dan signifikan antara khotbah dalam ibadah Minggu terhadap kedewasaan iman. Populasi adalah jemaat GKSI Merauke yang berjumlah 292 orang dengan sampel 30 orang. Instrumen yang digunakan adalah angket tertutup. Kesahihan diuji dengan menggunakan rumus korelasi product moment. Data dianalisis dengan menggunakan tehnik korelasi (rxy), diuji signifikan hubungan dengan rumus (t) dan uji determinasi (r2) serta regresi sederhana. Uji keberhasilan diuji dengan F, kemudian untuk mengetahui persamaan regresi pengaruh dilakukan dengan rumus Y = a+ bX. Hasil penelitian menunjukkan pengaruh atau r2 = 51% dan signifikan pengaruh atau F hitung = 28,65 di mana diketahui F tabel = 4,17 dan memperoleh keberartian persamaan regresi sederhana Y = 7,25 + 0,87X. Penelitian ini menyimpulkan bahwa khotbah dalam ibadah Minggu berpengaruh positif dan signifikan terhadap terhadap kedewasaan iman jemaat.","author":[{"dropping-particle":"","family":"Saly","given":"Jansakti Saddu","non-dropping-particle":"","parse-names":false,"suffix":""},{"dropping-particle":"","family":"Hutahaean","given":"Hasahatan","non-dropping-particle":"","parse-names":false,"suffix":""}],"container-title":"VISIO DEI: JURNAL TEOLOGI KRISTEN","id":"ITEM-1","issue":"2","issued":{"date-parts":[["2020","12"]]},"page":"225-243","title":"PENGARUH KHOTBAH DALAM IBADAH MINGGU TERHADAP KEDEWASAAN IMAN JEMAAT DI GKSI MERAUKE","type":"article-journal","volume":"2"},"uris":["http://www.mendeley.com/documents/?uuid=a7bfd176-a960-40c3-ad4a-cc40c1614be0","http://www.mendeley.com/documents/?uuid=7688ff71-f86b-498a-90f5-6fa3c122bfd0"]}],"mendeley":{"formattedCitation":"Jansakti Saddu Saly and Hasahatan Hutahaean, “PENGARUH KHOTBAH DALAM IBADAH MINGGU TERHADAP KEDEWASAAN IMAN JEMAAT DI GKSI MERAUKE,” &lt;i&gt;VISIO DEI: JURNAL TEOLOGI KRISTEN&lt;/i&gt; 2, no. 2 (December 2020): 225–243.","plainTextFormattedCitation":"Jansakti Saddu Saly and Hasahatan Hutahaean, “PENGARUH KHOTBAH DALAM IBADAH MINGGU TERHADAP KEDEWASAAN IMAN JEMAAT DI GKSI MERAUKE,” VISIO DEI: JURNAL TEOLOGI KRISTEN 2, no. 2 (December 2020): 225–243.","previouslyFormattedCitation":"Jansakti Saddu Saly and Hasahatan Hutahaean, “PENGARUH KHOTBAH DALAM IBADAH MINGGU TERHADAP KEDEWASAAN IMAN JEMAAT DI GKSI MERAUKE,” &lt;i&gt;VISIO DEI: JURNAL TEOLOGI KRISTEN&lt;/i&gt; 2, no. 2 (December 2020): 225–243."},"properties":{"noteIndex":7},"schema":"https://github.com/citation-style-language/schema/raw/master/csl-citation.json"}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Jansakti Saddu Saly and Hasahatan Hutahaean, “PENGARUH KHOTBAH DALAM IBADAH MINGGU TERHADAP KEDEWASAAN IMAN JEMAAT DI GKSI MERAUKE,” </w:t>
      </w:r>
      <w:r w:rsidRPr="00F367BE">
        <w:rPr>
          <w:rFonts w:ascii="Times New Roman" w:hAnsi="Times New Roman" w:cs="Times New Roman"/>
          <w:i/>
          <w:noProof/>
        </w:rPr>
        <w:t>VISIO DEI: JURNAL TEOLOGI KRISTEN</w:t>
      </w:r>
      <w:r w:rsidRPr="00F367BE">
        <w:rPr>
          <w:rFonts w:ascii="Times New Roman" w:hAnsi="Times New Roman" w:cs="Times New Roman"/>
          <w:noProof/>
        </w:rPr>
        <w:t xml:space="preserve"> 2, no. 2 (December 2020): 225–243.</w:t>
      </w:r>
      <w:r w:rsidRPr="00F367BE">
        <w:rPr>
          <w:rFonts w:ascii="Times New Roman" w:hAnsi="Times New Roman" w:cs="Times New Roman"/>
        </w:rPr>
        <w:fldChar w:fldCharType="end"/>
      </w:r>
    </w:p>
  </w:footnote>
  <w:footnote w:id="9">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{"citationItems":[{"id":"ITEM-1","itemData":{"DOI":"10.51828/td.v7i2.50","ISSN":"2746-7619","abstract":"Kehausan jemaat dalam mendengarkan berita khotbah kadang dilumpuhkan oleh materi khotbah dan komunikasi mimbar yang lemah. Dua dimensi khotbah yang harus diperkuat secara seimbang adalah materi khotbah yang alkitabiah dan komunikasi mimbar yang baik. Menimbulkan minat pada khotbah bukan saja menuntut pada diri pendengar, tetapi harus ada kemauan yang kuat bagi pengkhotbah untuk menyiapkan materi khotbah yang tepat dan membangun komunikasi mimbar yang baik. Apabila satu diantaranya terbaikan maka tujuan mulia dari pelayanan mimbar menjadi menjadi tidak maksimal.","author":[{"dropping-particle":"","family":"Sunarto","given":"","non-dropping-particle":"","parse-names":false,"suffix":""}],"container-title":"TE DEUM (Jurnal Teologi dan Pengembangan Pelayanan)","id":"ITEM-1","issue":"2","issued":{"date-parts":[["2021","4","8"]]},"page":"179-199","title":"Materi Khotbah Dan Komunikasi Mimbar","type":"article-journal","volume":"7"},"uris":["http://www.mendeley.com/documents/?uuid=603f2cad-8633-4282-9334-381859e7a77f"]}],"mendeley":{"formattedCitation":"Sunarto, “Materi Khotbah Dan Komunikasi Mimbar,” &lt;i&gt;TE DEUM (Jurnal Teologi dan Pengembangan Pelayanan)&lt;/i&gt; 7, no. 2 (April 8, 2021): 179–199, https://ojs.sttsappi.ac.id/index.php/tedeum/article/view/50.","plainTextFormattedCitation":"Sunarto, “Materi Khotbah Dan Komunikasi Mimbar,” TE DEUM (Jurnal Teologi dan Pengembangan Pelayanan) 7, no. 2 (April 8, 2021): 179–199, https://ojs.sttsappi.ac.id/index.php/tedeum/article/view/50.","previouslyFormattedCitation":"Sunarto, “Materi Khotbah Dan Komunikasi Mimbar,” &lt;i&gt;TE DEUM (Jurnal Teologi dan Pengembangan Pelayanan)&lt;/i&gt; 7, no. 2 (April 8, 2021): 179–199, https://ojs.sttsappi.ac.id/index.php/tedeum/article/view/50."},"properties":{"noteIndex":8},"schema":"https://github.com/citation-style-language/schema/raw/master/csl-citation.json"}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Sunarto, “Materi Khotbah Dan Komunikasi Mimbar,” </w:t>
      </w:r>
      <w:r w:rsidRPr="00F367BE">
        <w:rPr>
          <w:rFonts w:ascii="Times New Roman" w:hAnsi="Times New Roman" w:cs="Times New Roman"/>
          <w:i/>
          <w:noProof/>
        </w:rPr>
        <w:t>TE DEUM (Jurnal Teologi dan Pengembangan Pelayanan)</w:t>
      </w:r>
      <w:r w:rsidRPr="00F367BE">
        <w:rPr>
          <w:rFonts w:ascii="Times New Roman" w:hAnsi="Times New Roman" w:cs="Times New Roman"/>
          <w:noProof/>
        </w:rPr>
        <w:t xml:space="preserve"> 7, no. 2 (April 8, 2021): 179–199, https://ojs.sttsappi.ac.id/index.php/tedeum/article/view/50.</w:t>
      </w:r>
      <w:r w:rsidRPr="00F367BE">
        <w:rPr>
          <w:rFonts w:ascii="Times New Roman" w:hAnsi="Times New Roman" w:cs="Times New Roman"/>
        </w:rPr>
        <w:fldChar w:fldCharType="end"/>
      </w:r>
    </w:p>
  </w:footnote>
  <w:footnote w:id="10">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{"citationItems":[{"id":"ITEM-1","itemData":{"DOI":"10.30648/dun.v1i1.100","ISSN":"2541-3945","abstract":"Khotbah merupakan bagian dari proses ibadah di gereja yang bertujuan memberikan penjelasan kepada warga gereja. Namun demikian, beberapa kotbah yang disampaikan bukannya memberikan penjelasan yang alkitabiah sebaliknya hanya memberikan pernyataan-pernyataan yang ambigu dan ambivalensi, bahkan cenderung provokatif. Khotbah yang disampaikan kiranya kembali pada pola alkitabiah, yaitu khotbah pengajaran seperti yang dilakukan Tuhan Yesus Kristus dan para rasul. Khotbah pengajaran berorientasi pada berita Alkitab yang memiliki wibawa ilahi. Khotbah pengajaran bukanlah kotbah yang memberikan banyak alasan-alasan tertentu, tetapi yang memiliki makna teologi dan aplikatif.Disisi lain, khotbah kontemporer telah diterima dengan tangan terbuka oleh beberapa gereja yang tingkat pemahaman terhadap Alkitab dan iman Kristen masih sah untuk dipertanyakan. Hal itu tidak menjadikan gereja tersebut memiliki perspektif negatif, melainkan semakin meningkatkan kesadaran teologis secara normatif; apakah khotbah yang disampaikan selama ini sudah sehat atau menjadi beban warga gereja sehingga tidak memberikan pertumbuhan spiritualitas seperti yang diharapkan. Kajian ini bersifat eksplanatif-argumentatif, tentang khotbah pengajaran versus khotbah kontemporer, sehingga pada akhirnya pembaca mampu merekonstruksi makna kotbah yang selama ini telah dihidupi dan menghidupkan dalam kehidupannya sehari-hari. Sermon is one of element in church service, which aim to explain the people of God. Nevertheless, some sermons preached not to give biblical explanation, otherwise make some ambiguous, even tend to be provocatively. Sermon presumably back to biblical pattern, that is a teaching sermon what Jesus ever did and also with the apostles. Teaching sermon is biblical oriented, which has divine authority. It is not about giving many reasons, but having theological sense and applicable. In other side, contemporary sermon has been received with hand opened by some churches which their biblical understanding is proper to be questioned. That doesn’t make the church has negative perspective, but more increases theological awareness normatively; either sermon has been preached sensely or become burden for God’s people, so they couldn’t grow up spiritually as expected. This article explains argumentatively about teaching sermon versus contemporary one, which at least the reader can reconstructing the meaning of sermon that has been lived within and living by in daily life.","author":[{"dropping-particle":"","family":"Rey","given":"Kevin Tonny","non-dropping-particle":"","parse-names":false,"suffix":""}],"container-title":"DUNAMIS: Jurnal Penelitian Teologi dan Pendidikan Kristiani","id":"ITEM-1","issue":"1","issued":{"date-parts":[["2016","9"]]},"page":"31","title":"Khotbah Pengajaran Versus Khotbah Kontemporer","type":"article-journal","volume":"1"},"uris":["http://www.mendeley.com/documents/?uuid=96514fed-f14d-4e59-a747-68c293b1fe08","http://www.mendeley.com/documents/?uuid=2605bf50-fe8d-42a5-8cb0-f42ae5c220ce"]}],"mendeley":{"formattedCitation":"Kevin Tonny Rey, “Khotbah Pengajaran Versus Khotbah Kontemporer,” &lt;i&gt;DUNAMIS: Jurnal Penelitian Teologi dan Pendidikan Kristiani&lt;/i&gt; 1, no. 1 (September 2016): 31.","plainTextFormattedCitation":"Kevin Tonny Rey, “Khotbah Pengajaran Versus Khotbah Kontemporer,” DUNAMIS: Jurnal Penelitian Teologi dan Pendidikan Kristiani 1, no. 1 (September 2016): 31.","previouslyFormattedCitation":"Kevin Tonny Rey, “Khotbah Pengajaran Versus Khotbah Kontemporer,” &lt;i&gt;DUNAMIS: Jurnal Penelitian Teologi dan Pendidikan Kristiani&lt;/i&gt; 1, no. 1 (September 2016): 31."},"properties":{"noteIndex":9},"schema":"https://github.com/citation-style-language/schema/raw/master/csl-citation.json"}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Kevin Tonny Rey, “Khotbah Pengajaran Versus Khotbah Kontemporer,” </w:t>
      </w:r>
      <w:r w:rsidRPr="00F367BE">
        <w:rPr>
          <w:rFonts w:ascii="Times New Roman" w:hAnsi="Times New Roman" w:cs="Times New Roman"/>
          <w:i/>
          <w:noProof/>
        </w:rPr>
        <w:t>DUNAMIS: Jurnal Penelitian Teologi dan Pendidikan Kristiani</w:t>
      </w:r>
      <w:r w:rsidRPr="00F367BE">
        <w:rPr>
          <w:rFonts w:ascii="Times New Roman" w:hAnsi="Times New Roman" w:cs="Times New Roman"/>
          <w:noProof/>
        </w:rPr>
        <w:t xml:space="preserve"> 1, no. 1 (September 2016): 31.</w:t>
      </w:r>
      <w:r w:rsidRPr="00F367BE">
        <w:rPr>
          <w:rFonts w:ascii="Times New Roman" w:hAnsi="Times New Roman" w:cs="Times New Roman"/>
        </w:rPr>
        <w:fldChar w:fldCharType="end"/>
      </w:r>
    </w:p>
  </w:footnote>
  <w:footnote w:id="11">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{"citationItems":[{"id":"ITEM-1","itemData":{"DOI":"10.52220/magnum.v1i2.39","ISSN":"2716-0556","abstract":"Preaching is a work that proclaims God's will through His Word. Preaching the Word of God is expected to have a positive influence on the spiritual life of the listener, which is to bring change to those who listen. Preaching is the pastor's main work related to his calling in service in the church. This study aims to show that there is a relationship between the sermon by the pastor and the growth of the congregation. This research uses a qualitative approach with a descriptive method of 50 members of the congregation at GPdI Tamanan, Bondowoso. The conclusion obtained is, there is a significant role of preaching in church growth. Abstract Berkhotbah merupakan pekerjaan yang mewartakan kehendak Allah melalui Firman-Nya. Pemberitaan Firman Tuhan itulah yang diharapkan dapat memberikan pengaruh positif bagi kehidupan kerohaniaan pendengar, yaitu membawa perubahan bagi yang mendengarkannya. Berkhotbah merupakan pekerjaan utama gembala sidang terkait panggilan pelayanannya di gereja. Penelitian ini bertujuan untuk menunjukkan bahwa ada hubungan antara khotbah yang dilakukan oleh gembala sidang terhadap pertumbuhan jemaat. Penelitian ini menggunakan pendekatan kualiitatif dengan metode deskriptif terhadap 50 anggota jemaat di GPdI Tamanan, Bondowoso. Kesimpulan yang diperoleh adalah, ada peran khotbah yang signifikan dalam pertumbuhan jemaat.","author":[{"dropping-particle":"","family":"Santoso","given":"Dwi Setio Budiono","non-dropping-particle":"","parse-names":false,"suffix":""}],"container-title":"MAGNUM OPUS: Jurnal Teologi dan Kepemimpinan Kristen","id":"ITEM-1","issue":"2","issued":{"date-parts":[["2020","6"]]},"page":"88-97","title":"Peran Khotbah Gembala Sidang dalam Pertumbuhan Rohani Jemaat","type":"article-journal","volume":"1"},"uris":["http://www.mendeley.com/documents/?uuid=5fe02614-de0c-40cc-aafb-b9c452abcd4b","http://www.mendeley.com/documents/?uuid=e2eeb79a-5f4a-4d56-b9b6-53a77bfa7094"]}],"mendeley":{"formattedCitation":"Dwi Setio Budiono Santoso, “Peran Khotbah Gembala Sidang Dalam Pertumbuhan Rohani Jemaat,” &lt;i&gt;MAGNUM OPUS: Jurnal Teologi dan Kepemimpinan Kristen&lt;/i&gt; 1, no. 2 (June 2020): 88–97.","plainTextFormattedCitation":"Dwi Setio Budiono Santoso, “Peran Khotbah Gembala Sidang Dalam Pertumbuhan Rohani Jemaat,” MAGNUM OPUS: Jurnal Teologi dan Kepemimpinan Kristen 1, no. 2 (June 2020): 88–97.","previouslyFormattedCitation":"Dwi Setio Budiono Santoso, “Peran Khotbah Gembala Sidang Dalam Pertumbuhan Rohani Jemaat,” &lt;i&gt;MAGNUM OPUS: Jurnal Teologi dan Kepemimpinan Kristen&lt;/i&gt; 1, no. 2 (June 2020): 88–97."},"properties":{"noteIndex":10},"schema":"https://github.com/citation-style-language/schema/raw/master/csl-citation.json"}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Dwi Setio Budiono Santoso, “Peran Khotbah Gembala Sidang Dalam Pertumbuhan Rohani Jemaat,” </w:t>
      </w:r>
      <w:r w:rsidRPr="00F367BE">
        <w:rPr>
          <w:rFonts w:ascii="Times New Roman" w:hAnsi="Times New Roman" w:cs="Times New Roman"/>
          <w:i/>
          <w:noProof/>
        </w:rPr>
        <w:t>MAGNUM OPUS: Jurnal Teologi dan Kepemimpinan Kristen</w:t>
      </w:r>
      <w:r w:rsidRPr="00F367BE">
        <w:rPr>
          <w:rFonts w:ascii="Times New Roman" w:hAnsi="Times New Roman" w:cs="Times New Roman"/>
          <w:noProof/>
        </w:rPr>
        <w:t xml:space="preserve"> 1, no. 2 (June 2020): 88–97.</w:t>
      </w:r>
      <w:r w:rsidRPr="00F367BE">
        <w:rPr>
          <w:rFonts w:ascii="Times New Roman" w:hAnsi="Times New Roman" w:cs="Times New Roman"/>
        </w:rPr>
        <w:fldChar w:fldCharType="end"/>
      </w:r>
    </w:p>
  </w:footnote>
  <w:footnote w:id="12">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{"citationItems":[{"id":"ITEM-1","itemData":{"DOI":"10.47596/solagratia.v5i1.53","ISSN":"2723-2794","abstract":"Abstrak: Pemuridan yang Alkitabiah tidak dapat dilepaskan dari mimbar yang Alkitabiah. Pemuridan memang tidak berakhir dengan pemberitaan Injil, namun pemuridan harus dimulai dengannya. Khotbah adalah tempat memulai yang tidak bisa diabaikan. Pemuridan dapat terjadi ketika para pengkhotbah semakin belajar menyajikan khotbah yang kontekstual. Melalui khotbah yang kontekstual, bukan hanya jemaat dibawa untuk semakin dekat Tuhan, si pengkhotbah pun dibawa untuk semakin dekat dengan Tuhan. Khotbah kontekstual adalah khotbah yang menyaksikan nama Tuhan dan bukan nama diri pengkhotbahnya. Kata-kata Kunci: Pemuridan, khotbah, kontekstual","author":[{"dropping-particle":"","family":"OEI","given":"AMOS WINARTO","non-dropping-particle":"","parse-names":false,"suffix":""}],"container-title":"SOLA GRATIA: Jurnal Teologi Biblika dan Praktika","id":"ITEM-1","issue":"1","issued":{"date-parts":[["2020","2"]]},"title":"KHOTBAH YANG KONTEKSTUAL : MEMURIDKAN PARA PENGKHOTBAH UNTUK MEMURIDKAN JEMAAT","type":"article-journal","volume":"5"},"uris":["http://www.mendeley.com/documents/?uuid=726deb6f-e644-4cdf-9703-49781b345d43","http://www.mendeley.com/documents/?uuid=55e71c4d-26b9-431f-86de-ce4305a78e70"]}],"mendeley":{"formattedCitation":"AMOS WINARTO OEI, “KHOTBAH YANG KONTEKSTUAL : MEMURIDKAN PARA PENGKHOTBAH UNTUK MEMURIDKAN JEMAAT,” &lt;i&gt;SOLA GRATIA: Jurnal Teologi Biblika dan Praktika&lt;/i&gt; 5, no. 1 (February 2020).","plainTextFormattedCitation":"AMOS WINARTO OEI, “KHOTBAH YANG KONTEKSTUAL : MEMURIDKAN PARA PENGKHOTBAH UNTUK MEMURIDKAN JEMAAT,” SOLA GRATIA: Jurnal Teologi Biblika dan Praktika 5, no. 1 (February 2020).","previouslyFormattedCitation":"AMOS WINARTO OEI, “KHOTBAH YANG KONTEKSTUAL : MEMURIDKAN PARA PENGKHOTBAH UNTUK MEMURIDKAN JEMAAT,” &lt;i&gt;SOLA GRATIA: Jurnal Teologi Biblika dan Praktika&lt;/i&gt; 5, no. 1 (February 2020)."},"properties":{"noteIndex":11},"schema":"https://github.com/citation-style-language/schema/raw/master/csl-citation.json"}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AMOS WINARTO OEI, “KHOTBAH YANG KONTEKSTUAL : MEMURIDKAN PARA PENGKHOTBAH UNTUK MEMURIDKAN JEMAAT,” </w:t>
      </w:r>
      <w:r w:rsidRPr="00F367BE">
        <w:rPr>
          <w:rFonts w:ascii="Times New Roman" w:hAnsi="Times New Roman" w:cs="Times New Roman"/>
          <w:i/>
          <w:noProof/>
        </w:rPr>
        <w:t>SOLA GRATIA: Jurnal Teologi Biblika dan Praktika</w:t>
      </w:r>
      <w:r w:rsidRPr="00F367BE">
        <w:rPr>
          <w:rFonts w:ascii="Times New Roman" w:hAnsi="Times New Roman" w:cs="Times New Roman"/>
          <w:noProof/>
        </w:rPr>
        <w:t xml:space="preserve"> 5, no. 1 (February 2020).</w:t>
      </w:r>
      <w:r w:rsidRPr="00F367BE">
        <w:rPr>
          <w:rFonts w:ascii="Times New Roman" w:hAnsi="Times New Roman" w:cs="Times New Roman"/>
        </w:rPr>
        <w:fldChar w:fldCharType="end"/>
      </w:r>
    </w:p>
  </w:footnote>
  <w:footnote w:id="13">
    <w:p w:rsidR="007F6745" w:rsidRPr="00F367BE" w:rsidRDefault="007F6745"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008A0274" w:rsidRPr="00F367BE">
        <w:rPr>
          <w:rFonts w:ascii="Times New Roman" w:hAnsi="Times New Roman" w:cs="Times New Roman"/>
          <w:lang w:val="id-ID"/>
        </w:rPr>
        <w:t xml:space="preserve"> Band.</w:t>
      </w:r>
      <w:r w:rsidRPr="00F367BE">
        <w:rPr>
          <w:rFonts w:ascii="Times New Roman" w:hAnsi="Times New Roman" w:cs="Times New Roman"/>
        </w:rPr>
        <w:t xml:space="preserve"> </w:t>
      </w:r>
      <w:r w:rsidRPr="00F367BE">
        <w:rPr>
          <w:rFonts w:ascii="Times New Roman" w:hAnsi="Times New Roman" w:cs="Times New Roman"/>
        </w:rPr>
        <w:fldChar w:fldCharType="begin" w:fldLock="1"/>
      </w:r>
      <w:r w:rsidR="00F367BE" w:rsidRPr="00F367BE">
        <w:rPr>
          <w:rFonts w:ascii="Times New Roman" w:hAnsi="Times New Roman" w:cs="Times New Roman"/>
        </w:rPr>
        <w:instrText>ADDIN CSL_CITATION {"citationItems":[{"id":"ITEM-1","itemData":{"DOI":"10.53547/rcj.v4i2.145","ISSN":"2807-6044","abstract":"Classroom action training was agreed upon by the service team, starting with concerns about the teacher's difficulties. The service team found that many teachers had not been able to combine observations in class. This research is a way of teacher research in the classroom to find problems in the learning process. The teacher found many problems related to learning, namely process design, media, learning techniques, and learning outcomes. To realize good classroom action research techniques, training is done. Some teachers have not been able to write a good scientific paper. So the service team trains skilled teachers in writing. The method of service in this service begins with planning the location of the service. The plan is carefully prepared to avoid obstacles in the field. This training produces groups of writer teachers according to their respective fields. The team already found teachers who did classroom action research. However, the difficulty in pouring it in the article. So that the team assists in writing classroom action research articles that will be published in journals, follow-up assistance is carried out in WhatsApp groups.Keywords: report; theory; learning; writing; class action AbstrakPelatihan tindakan kelas disepakati oleh tim pengabdian, diawali keresahan akan kesulitan guru dalam melakukannya. Tim pengabdian menemukan masih banyak guru yang belum bisa meramu hasil pengamatan dalam kelas. Kegiatan ini merupakan cara penelitian guru dalam kelas untuk menemukan masalah dalam proses pembelajaran. Guru menemukan banyak masalah terkait pembelajaran, yakni: rancangan proses, media, teknik pembelajaran, dan hasil pembelajaran. Untuk merealisasikan teknik penelitian tindakan kelas yang baik, maka dibuat pelatihan. Ada juga guru yang belum mampu menulis sebuah karya ilmiah yang baik. Maka tim pengabdian melatih guru terampil dalam menulis. Metode pengabdian ini diawali dengan merencanakan lokasi pengabdian. Rencana dipersiapkan dengan matang agar tidak ada kendala di lapangan. Pelatihan ini menghasilkan kelompok guru penulis sesuai bidang masing-masing. Tim menemukan sudah ada guru yang dapat membuat penelitian tindakan kelasn namun masih kesulitan dalam menuangkannya ke dalam artikel sehingga tim mendampingi dalam penulisan artikel penelitian tindakan kelas yang akan diterbitkan di jurnal. Selanjutnya, pendampingan lanjutan dilakukan dalam grup WhatsApp.Kata kunci: laporan; materi; pembelajaran; penulisan; tindakan kelas","author":[{"dropping-particle":"","family":"Tari","given":"Ezra","non-dropping-particle":"","parse-names":false,"suffix":""},{"dropping-particle":"","family":"Koroh","given":"Lanny I.D.","non-dropping-particle":"","parse-names":false,"suffix":""},{"dropping-particle":"","family":"Ali","given":"Umar","non-dropping-particle":"","parse-names":false,"suffix":""},{"dropping-particle":"","family":"Liufeto","given":"Martin Ch.","non-dropping-particle":"","parse-names":false,"suffix":""},{"dropping-particle":"","family":"Tlonaen","given":"Talita","non-dropping-particle":"","parse-names":false,"suffix":""}],"container-title":"Real Coster : Jurnal Pengabdian kepada Masyarakat","id":"ITEM-1","issue":"2","issued":{"date-parts":[["2022","3","31"]]},"page":"43-51","title":"Pendampingan Menulis Penelitian Tindakan Kelas di Larantuka, Flores Timur","type":"article-journal","volume":"4"},"locator":"46","uris":["http://www.mendeley.com/documents/?uuid=bf15836e-f4de-4a38-a44e-9c6afaa5e9e5"]},{"id":"ITEM-2","itemData":{"DOI":"10.53547/rcj.v4i2.144","ISSN":"2807-6044","abstract":"The purpose of this activity is to provide understanding and knowledge to Sunday school teachers about learning media as well as an experience for Sunday school teachers in the Central Kupang City class about the importance of using learning media and school activities and the use of puppet stage media. This activity is intended to add insight and skills Sunday school teachers in utilizing various available media in delivering interesting Bible stories to children, so that the process of Sunday school activities can run with enthusiasm and joy. Because in school learning that is carried out in the congregation is still very boring for children, especially for small and middle class children, the same teaching methods are carried out from week to week by Sunday school teachers such as stories and coloring pictures. This causes Sunday school children to feel lazy to come to Sunday school, let alone listen to the stories that are told. Because especially for children's classes, they prefer to listen to something interesting. The methods used in this service activity are socialization, mentoring and training, and reflection. From the service activities carried out, the results obtained are Sunday school teachers understand about learning media and the importance of using learning media in Sunday schools to attract children's interest in participating in Sunday school activities, especially using the puppet stage media which is interesting and fun, even school teachers are starting to can use and have the initiative to make their own existing learning media, especially dolls from patchwork/recycled materials. Keywords: Sunday school; media; puppet stage; training AbstrakTujuan dari kegiatan ini adalah memberikan pemahaman dan pengetahuan kepada guru sekolah minggu tentang media pembelajaran serta sebagai pengalaman bagi guru sekolah minggu di klasis Kota Kupang Tengah tentang pentingnya pemanfaatan media pembelajaran dan kegiatan sekolah dan penggunaan media panggung boneka, Kegiatan ini dimaksudkan untuk menambah wawasan dan keterampilan guru sekolah minggu dalam pemanfaatan berbagai media yang tersedia dalam penyampaian cerita Alkitab kepada anak yang menarik, sehingga proses kegiatan sekolah minggu dapat berjalan dengan semangat dan sukacita. Karena dalam pembelajaran sekolah yang dilakukan di jemaat masih sangat membosankan bagi anak, khususnya anak kelas kecil dan kelas tanggung, metode mengajar yang sama yang dilakuakn dari minggu ke minggu oleh pengaj…","author":[{"dropping-particle":"","family":"Pellokila","given":"Ireni Irnawati","non-dropping-particle":"","parse-names":false,"suffix":""},{"dropping-particle":"","family":"Sesfao","given":"Maria Indriani","non-dropping-particle":"","parse-names":false,"suffix":""}],"container-title":"Real Coster : Jurnal Pengabdian kepada Masyarakat","id":"ITEM-2","issue":"2","issued":{"date-parts":[["2022","3","31"]]},"page":"74-86","title":"Pelatihan Pemanfaatan Media Panggung Boneka Bagi Guru Sekolah Minggu","type":"article-journal","volume":"4"},"locator":"79","uris":["http://www.mendeley.com/documents/?uuid=d706ff92-6e1b-4706-a78e-e90550698c28"]}],"mendeley":{"formattedCitation":"Ezra Tari et al., “Pendampingan Menulis Penelitian Tindakan Kelas Di Larantuka, Flores Timur,” &lt;i&gt;Real Coster : Jurnal Pengabdian kepada Masyarakat&lt;/i&gt; 4, no. 2 (March 31, 2022): 46, https://ojs.sttrealbatam.ac.id/index.php/coster/article/view/145; Ireni Irnawati Pellokila and Maria Indriani Sesfao, “Pelatihan Pemanfaatan Media Panggung Boneka Bagi Guru Sekolah Minggu,” &lt;i&gt;Real Coster : Jurnal Pengabdian kepada Masyarakat&lt;/i&gt; 4, no. 2 (March 31, 2022): 79, https://ojs.sttrealbatam.ac.id/index.php/coster/article/view/144.","plainTextFormattedCitation":"Ezra Tari et al., “Pendampingan Menulis Penelitian Tindakan Kelas Di Larantuka, Flores Timur,” Real Coster : Jurnal Pengabdian kepada Masyarakat 4, no. 2 (March 31, 2022): 46, https://ojs.sttrealbatam.ac.id/index.php/coster/article/view/145; Ireni Irnawati Pellokila and Maria Indriani Sesfao, “Pelatihan Pemanfaatan Media Panggung Boneka Bagi Guru Sekolah Minggu,” Real Coster : Jurnal Pengabdian kepada Masyarakat 4, no. 2 (March 31, 2022): 79, https://ojs.sttrealbatam.ac.id/index.php/coster/article/view/144.","previouslyFormattedCitation":"Ezra Tari et al., “Pendampingan Menulis Penelitian Tindakan Kelas Di Larantuka, Flores Timur,” &lt;i&gt;Real Coster : Jurnal Pengabdian kepada Masyarakat&lt;/i&gt; 4, no. 2 (March 31, 2022): 46, https://ojs.sttrealbatam.ac.id/index.php/coster/article/view/145; Ireni Irnawati Pellokila and Maria Indriani Sesfao, “Pelatihan Pemanfaatan Media Panggung Boneka Bagi Guru Sekolah Minggu,” &lt;i&gt;Real Coster : Jurnal Pengabdian kepada Masyarakat&lt;/i&gt; 4, no. 2 (March 31, 2022): 79, https://ojs.sttrealbatam.ac.id/index.php/coster/article/view/144."},"properties":{"noteIndex":12},"schema":"https://github.com/citation-style-language/schema/raw/master/csl-citation.json"}</w:instrText>
      </w:r>
      <w:r w:rsidRPr="00F367BE">
        <w:rPr>
          <w:rFonts w:ascii="Times New Roman" w:hAnsi="Times New Roman" w:cs="Times New Roman"/>
        </w:rPr>
        <w:fldChar w:fldCharType="separate"/>
      </w:r>
      <w:r w:rsidR="008A0274" w:rsidRPr="00F367BE">
        <w:rPr>
          <w:rFonts w:ascii="Times New Roman" w:hAnsi="Times New Roman" w:cs="Times New Roman"/>
          <w:noProof/>
        </w:rPr>
        <w:t xml:space="preserve">Ezra Tari et al., “Pendampingan Menulis Penelitian Tindakan Kelas Di Larantuka, Flores Timur,” </w:t>
      </w:r>
      <w:r w:rsidR="008A0274" w:rsidRPr="00F367BE">
        <w:rPr>
          <w:rFonts w:ascii="Times New Roman" w:hAnsi="Times New Roman" w:cs="Times New Roman"/>
          <w:i/>
          <w:noProof/>
        </w:rPr>
        <w:t>Real Coster : Jurnal Pengabdian kepada Masyarakat</w:t>
      </w:r>
      <w:r w:rsidR="008A0274" w:rsidRPr="00F367BE">
        <w:rPr>
          <w:rFonts w:ascii="Times New Roman" w:hAnsi="Times New Roman" w:cs="Times New Roman"/>
          <w:noProof/>
        </w:rPr>
        <w:t xml:space="preserve"> 4, no. 2 (March 31, 2022): 46, https://ojs.sttrealbatam.ac.id/index.php/coster/article/view/145; Ireni Irnawati Pellokila and Maria Indriani Sesfao, “Pelatihan Pemanfaatan Media Panggung Boneka Bagi Guru Sekolah Minggu,” </w:t>
      </w:r>
      <w:r w:rsidR="008A0274" w:rsidRPr="00F367BE">
        <w:rPr>
          <w:rFonts w:ascii="Times New Roman" w:hAnsi="Times New Roman" w:cs="Times New Roman"/>
          <w:i/>
          <w:noProof/>
        </w:rPr>
        <w:t>Real Coster : Jurnal Pengabdian kepada Masyarakat</w:t>
      </w:r>
      <w:r w:rsidR="008A0274" w:rsidRPr="00F367BE">
        <w:rPr>
          <w:rFonts w:ascii="Times New Roman" w:hAnsi="Times New Roman" w:cs="Times New Roman"/>
          <w:noProof/>
        </w:rPr>
        <w:t xml:space="preserve"> 4, no. 2 (March 31, 2022): 79, https://ojs.sttrealbatam.ac.id/index.php/coster/article/view/144.</w:t>
      </w:r>
      <w:r w:rsidRPr="00F367BE">
        <w:rPr>
          <w:rFonts w:ascii="Times New Roman" w:hAnsi="Times New Roman" w:cs="Times New Roman"/>
        </w:rPr>
        <w:fldChar w:fldCharType="end"/>
      </w:r>
    </w:p>
  </w:footnote>
  <w:footnote w:id="14">
    <w:p w:rsidR="00D4729F" w:rsidRPr="00F367BE" w:rsidRDefault="00D4729F" w:rsidP="00F367BE">
      <w:pPr>
        <w:pStyle w:val="FootnoteText"/>
        <w:ind w:firstLine="709"/>
        <w:jc w:val="both"/>
        <w:rPr>
          <w:rFonts w:ascii="Times New Roman" w:hAnsi="Times New Roman" w:cs="Times New Roman"/>
          <w:lang w:val="id-ID"/>
        </w:rPr>
      </w:pPr>
      <w:r w:rsidRPr="00F367BE">
        <w:rPr>
          <w:rStyle w:val="FootnoteReference"/>
          <w:rFonts w:ascii="Times New Roman" w:hAnsi="Times New Roman" w:cs="Times New Roman"/>
        </w:rPr>
        <w:footnoteRef/>
      </w:r>
      <w:r w:rsidRPr="00F367BE">
        <w:rPr>
          <w:rFonts w:ascii="Times New Roman" w:hAnsi="Times New Roman" w:cs="Times New Roman"/>
        </w:rPr>
        <w:t xml:space="preserve"> </w:t>
      </w:r>
      <w:r w:rsidR="00A66B2F" w:rsidRPr="00F367BE">
        <w:rPr>
          <w:rFonts w:ascii="Times New Roman" w:hAnsi="Times New Roman" w:cs="Times New Roman"/>
        </w:rPr>
        <w:fldChar w:fldCharType="begin" w:fldLock="1"/>
      </w:r>
      <w:r w:rsidR="00F367BE" w:rsidRPr="00F367BE">
        <w:rPr>
          <w:rFonts w:ascii="Times New Roman" w:hAnsi="Times New Roman" w:cs="Times New Roman"/>
        </w:rPr>
        <w:instrText>ADDIN CSL_CITATION {"citationItems":[{"id":"ITEM-1","itemData":{"DOI":"10.51828/td.v7i1.103","ISSN":"2746-7619","abstract":"Pada tataran apa pun di masyarakat ada kebutuhan yang kuat agar para pemimpin mereka memiliki hidup berintegritas. Masalah integritas dipandang sebagai tuntutan yang sangat mendasar dan mutlak bagi seorang pengkhotbah.Alkitab banyak membicarakan tentang dasar-dasar pentingnya intergritas pasca keberdosaan manusia yang pertama.Yesus adalah model pengkhotbah yang berintegritas secara sempurna.Injil kerajaan yang diberitakan oleh Yesus memanggil orang berdosa supaya bertobat di hadapan Allah.Apa yang diberitakan bukan untuk menyukakan kehendak manusia yang berdosa, tetapi supaya mereka hidup dalam pertobatan. Terpenuhinya aspek-aspek integritas bagi seorang pengkhotbah apabila dipadukan dengan kualitas khotbah akan menjadikan instrumen ini untuk menumbuhkan iman pendengar seperti yang dikendaki oleh Allah. Kebutuhan ini manjadi urgen karena antara integritas seorang pengkhotbah dengan kualitas khotbah dapat berimplikasi bagi pertumbuhan spiritual orang percaya.","author":[{"dropping-particle":"","family":"Sunarto","given":"","non-dropping-particle":"","parse-names":false,"suffix":""}],"container-title":"TE DEUM (Jurnal Teologi dan Pengembangan Pelayanan)","id":"ITEM-1","issue":"1","issued":{"date-parts":[["2021","4"]]},"page":"77-99","title":"Integritas Seorang Pengkhotbah dan Kualitas Khotbah dalam Pemberitaan Firman Tuhan","type":"article-journal","volume":"7"},"uris":["http://www.mendeley.com/documents/?uuid=d9b1ecfd-7e9d-404a-baf6-879e69043938"]},{"id":"ITEM-2","itemData":{"DOI":"10.51828/td.v7i2.50","ISSN":"2746-7619","abstract":"Kehausan jemaat dalam mendengarkan berita khotbah kadang dilumpuhkan oleh materi khotbah dan komunikasi mimbar yang lemah. Dua dimensi khotbah yang harus diperkuat secara seimbang adalah materi khotbah yang alkitabiah dan komunikasi mimbar yang baik. Menimbulkan minat pada khotbah bukan saja menuntut pada diri pendengar, tetapi harus ada kemauan yang kuat bagi pengkhotbah untuk menyiapkan materi khotbah yang tepat dan membangun komunikasi mimbar yang baik. Apabila satu diantaranya terbaikan maka tujuan mulia dari pelayanan mimbar menjadi menjadi tidak maksimal.","author":[{"dropping-particle":"","family":"Sunarto","given":"","non-dropping-particle":"","parse-names":false,"suffix":""}],"container-title":"TE DEUM (Jurnal Teologi dan Pengembangan Pelayanan)","id":"ITEM-2","issue":"2","issued":{"date-parts":[["2021","4","8"]]},"page":"179-199","title":"Materi Khotbah Dan Komunikasi Mimbar","type":"article-journal","volume":"7"},"uris":["http://www.mendeley.com/documents/?uuid=603f2cad-8633-4282-9334-381859e7a77f"]},{"id":"ITEM-3","itemData":{"DOI":"10.51828/td.v5i2.109","ISSN":"2746-7619","abstract":"Gagasan berkhotbah pertama kali muncul bukan dimulai dari manusia, tetapi dimulai dari hati Allah sendiri. Sejak manusia yang pertama diciptakan oleh Allah, hakikat berkhotbah sudah dikerjakan oleh Allah, demikian juga ketika manusia jatuh ke dalam dosa, Allah langsung menyampaikan berita firman-Nya kepada manusia. Mandat berkhotbah akhirnya diteruskan kepada para nabi, rasul dan semua orang percaya dipanggil untuk menyampaikan kebenaran dari Allah. Dunia yang gelap oleh dosa memerlukan terang kebenaran supaya mengerti akan kehendak Allah. Berkhotbah salah satu instrumen yang dapat dipakai oleh Allah untuk menyatakan kehendak-Nya bagi manusia yang berdosa. Dalam berkhotbah ada dua aspek yang terlibat, yaitu: unsur ilahi dan insani. Ada peranan Roh Kudus dalam berkhotbah dan ada peranan manusia yang dipakai oleh Allah dalam menyampaikan kehendak-Nya.","author":[{"dropping-particle":"","family":"Sunarto","given":"","non-dropping-particle":"","parse-names":false,"suffix":""}],"container-title":"TE DEUM (Jurnal Teologi dan Pengembangan Pelayanan)","id":"ITEM-3","issue":"2","issued":{"date-parts":[["2021","4","27"]]},"page":"251-272","title":"Pengkhotbah dan Peranan Roh Kudus Dalam Berkhotbah","type":"article-journal","volume":"5"},"uris":["http://www.mendeley.com/documents/?uuid=c73683c1-0dc1-4636-8a35-7cd2df18480f"]}],"mendeley":{"formattedCitation":"Sunarto, “Integritas Seorang Pengkhotbah Dan Kualitas Khotbah Dalam Pemberitaan Firman Tuhan,” &lt;i&gt;TE DEUM (Jurnal Teologi dan Pengembangan Pelayanan)&lt;/i&gt; 7, no. 1 (April 2021): 77–99; Sunarto, “Materi Khotbah Dan Komunikasi Mimbar”; Sunarto, “Pengkhotbah Dan Peranan Roh Kudus Dalam Berkhotbah,” &lt;i&gt;TE DEUM (Jurnal Teologi dan Pengembangan Pelayanan)&lt;/i&gt; 5, no. 2 (April 27, 2021): 251–272, https://ojs.sttsappi.ac.id/index.php/tedeum/article/view/109.","plainTextFormattedCitation":"Sunarto, “Integritas Seorang Pengkhotbah Dan Kualitas Khotbah Dalam Pemberitaan Firman Tuhan,” TE DEUM (Jurnal Teologi dan Pengembangan Pelayanan) 7, no. 1 (April 2021): 77–99; Sunarto, “Materi Khotbah Dan Komunikasi Mimbar”; Sunarto, “Pengkhotbah Dan Peranan Roh Kudus Dalam Berkhotbah,” TE DEUM (Jurnal Teologi dan Pengembangan Pelayanan) 5, no. 2 (April 27, 2021): 251–272, https://ojs.sttsappi.ac.id/index.php/tedeum/article/view/109.","previouslyFormattedCitation":"Sunarto, “Integritas Seorang Pengkhotbah Dan Kualitas Khotbah Dalam Pemberitaan Firman Tuhan,” &lt;i&gt;TE DEUM (Jurnal Teologi dan Pengembangan Pelayanan)&lt;/i&gt; 7, no. 1 (April 2021): 77–99; Sunarto, “Materi Khotbah Dan Komunikasi Mimbar”; Sunarto, “Pengkhotbah Dan Peranan Roh Kudus Dalam Berkhotbah,” &lt;i&gt;TE DEUM (Jurnal Teologi dan Pengembangan Pelayanan)&lt;/i&gt; 5, no. 2 (April 27, 2021): 251–272, https://ojs.sttsappi.ac.id/index.php/tedeum/article/view/109."},"properties":{"noteIndex":13},"schema":"https://github.com/citation-style-language/schema/raw/master/csl-citation.json"}</w:instrText>
      </w:r>
      <w:r w:rsidR="00A66B2F" w:rsidRPr="00F367BE">
        <w:rPr>
          <w:rFonts w:ascii="Times New Roman" w:hAnsi="Times New Roman" w:cs="Times New Roman"/>
        </w:rPr>
        <w:fldChar w:fldCharType="separate"/>
      </w:r>
      <w:r w:rsidR="00F367BE" w:rsidRPr="00F367BE">
        <w:rPr>
          <w:rFonts w:ascii="Times New Roman" w:hAnsi="Times New Roman" w:cs="Times New Roman"/>
          <w:noProof/>
        </w:rPr>
        <w:t xml:space="preserve">Sunarto, “Integritas Seorang Pengkhotbah Dan Kualitas Khotbah Dalam Pemberitaan Firman Tuhan,” </w:t>
      </w:r>
      <w:r w:rsidR="00F367BE" w:rsidRPr="00F367BE">
        <w:rPr>
          <w:rFonts w:ascii="Times New Roman" w:hAnsi="Times New Roman" w:cs="Times New Roman"/>
          <w:i/>
          <w:noProof/>
        </w:rPr>
        <w:t>TE DEUM (Jurnal Teologi dan Pengembangan Pelayanan)</w:t>
      </w:r>
      <w:r w:rsidR="00F367BE" w:rsidRPr="00F367BE">
        <w:rPr>
          <w:rFonts w:ascii="Times New Roman" w:hAnsi="Times New Roman" w:cs="Times New Roman"/>
          <w:noProof/>
        </w:rPr>
        <w:t xml:space="preserve"> 7, no. 1 (April 2021): 77–99; Sunarto, “Materi Khotbah Dan Komunikasi Mimbar”; Sunarto, “Pengkhotbah Dan Peranan Roh Kudus Dalam Berkhotbah,” </w:t>
      </w:r>
      <w:r w:rsidR="00F367BE" w:rsidRPr="00F367BE">
        <w:rPr>
          <w:rFonts w:ascii="Times New Roman" w:hAnsi="Times New Roman" w:cs="Times New Roman"/>
          <w:i/>
          <w:noProof/>
        </w:rPr>
        <w:t>TE DEUM (Jurnal Teologi dan Pengembangan Pelayanan)</w:t>
      </w:r>
      <w:r w:rsidR="00F367BE" w:rsidRPr="00F367BE">
        <w:rPr>
          <w:rFonts w:ascii="Times New Roman" w:hAnsi="Times New Roman" w:cs="Times New Roman"/>
          <w:noProof/>
        </w:rPr>
        <w:t xml:space="preserve"> 5, no. 2 (April 27, 2021): 251–272, https://ojs.sttsappi.ac.id/index.php/tedeum/article/view/109.</w:t>
      </w:r>
      <w:r w:rsidR="00A66B2F" w:rsidRPr="00F367BE">
        <w:rPr>
          <w:rFonts w:ascii="Times New Roman" w:hAnsi="Times New Roman" w:cs="Times New Roman"/>
        </w:rPr>
        <w:fldChar w:fldCharType="end"/>
      </w:r>
    </w:p>
  </w:footnote>
  <w:footnote w:id="15">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{"citationItems":[{"id":"ITEM-1","itemData":{"author":[{"dropping-particle":"","family":"Silalahi","given":"Haposan","non-dropping-particle":"","parse-names":false,"suffix":""}],"container-title":"Te Deum","id":"ITEM-1","issue":"1","issued":{"date-parts":[["2018"]]},"title":"Historical Grammatical: Sebuah Metode Hermeneutik Dalam Menemukan Makna Yang Tersembunyi Dalam Teks-Teks Alkitab","type":"article-journal","volume":"8"},"uris":["http://www.mendeley.com/documents/?uuid=e989afef-c348-469e-980a-2cd9647c6306"]}],"mendeley":{"formattedCitation":"Haposan Silalahi, “Historical Grammatical: Sebuah Metode Hermeneutik Dalam Menemukan Makna Yang Tersembunyi Dalam Teks-Teks Alkitab,” &lt;i&gt;Te Deum&lt;/i&gt; 8, no. 1 (2018).","plainTextFormattedCitation":"Haposan Silalahi, “Historical Grammatical: Sebuah Metode Hermeneutik Dalam Menemukan Makna Yang Tersembunyi Dalam Teks-Teks Alkitab,” Te Deum 8, no. 1 (2018).","previouslyFormattedCitation":"Haposan Silalahi, “Historical Grammatical: Sebuah Metode Hermeneutik Dalam Menemukan Makna Yang Tersembunyi Dalam Teks-Teks Alkitab,” &lt;i&gt;Te Deum&lt;/i&gt; 8, no. 1 (2018)."},"properties":{"noteIndex":14},"schema":"https://github.com/citation-style-language/schema/raw/master/csl-citation.json"}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Haposan Silalahi, “Historical Grammatical: Sebuah Metode Hermeneutik Dalam Menemukan Makna Yang Tersembunyi Dalam Teks-Teks Alkitab,” </w:t>
      </w:r>
      <w:r w:rsidRPr="00F367BE">
        <w:rPr>
          <w:rFonts w:ascii="Times New Roman" w:hAnsi="Times New Roman" w:cs="Times New Roman"/>
          <w:i/>
          <w:noProof/>
        </w:rPr>
        <w:t>Te Deum</w:t>
      </w:r>
      <w:r w:rsidRPr="00F367BE">
        <w:rPr>
          <w:rFonts w:ascii="Times New Roman" w:hAnsi="Times New Roman" w:cs="Times New Roman"/>
          <w:noProof/>
        </w:rPr>
        <w:t xml:space="preserve"> 8, no. 1 (2018).</w:t>
      </w:r>
      <w:r w:rsidRPr="00F367BE">
        <w:rPr>
          <w:rFonts w:ascii="Times New Roman" w:hAnsi="Times New Roman" w:cs="Times New Roman"/>
        </w:rPr>
        <w:fldChar w:fldCharType="end"/>
      </w:r>
    </w:p>
  </w:footnote>
  <w:footnote w:id="16">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{"citationItems":[{"id":"ITEM-1","itemData":{"author":[{"dropping-particle":"","family":"Ludji","given":"Barnabas","non-dropping-particle":"","parse-names":false,"suffix":""}],"container-title":"LENSA: Jurnal Sekolah Tinggi Teologi Cipanas","id":"ITEM-1","issue":"2","issued":{"date-parts":[["2005"]]},"page":"35-48","title":"Umat dalam Konteks Sosial Politik Menurut Perjanjian Lama","type":"article-journal","volume":"2"},"uris":["http://www.mendeley.com/documents/?uuid=94d584fa-adb4-4062-99f1-a75140f529df","http://www.mendeley.com/documents/?uuid=fcd61697-c739-4624-8b6e-a879165c7ed7"]}],"mendeley":{"formattedCitation":"Barnabas Ludji, “Umat Dalam Konteks Sosial Politik Menurut Perjanjian Lama,” &lt;i&gt;LENSA: Jurnal Sekolah Tinggi Teologi Cipanas&lt;/i&gt; 2, no. 2 (2005): 35–48.","plainTextFormattedCitation":"Barnabas Ludji, “Umat Dalam Konteks Sosial Politik Menurut Perjanjian Lama,” LENSA: Jurnal Sekolah Tinggi Teologi Cipanas 2, no. 2 (2005): 35–48.","previouslyFormattedCitation":"Barnabas Ludji, “Umat Dalam Konteks Sosial Politik Menurut Perjanjian Lama,” &lt;i&gt;LENSA: Jurnal Sekolah Tinggi Teologi Cipanas&lt;/i&gt; 2, no. 2 (2005): 35–48."},"properties":{"noteIndex":15},"schema":"https://github.com/citation-style-language/schema/raw/master/csl-citation.json"}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Barnabas Ludji, “Umat Dalam Konteks Sosial Politik Menurut Perjanjian Lama,” </w:t>
      </w:r>
      <w:r w:rsidRPr="00F367BE">
        <w:rPr>
          <w:rFonts w:ascii="Times New Roman" w:hAnsi="Times New Roman" w:cs="Times New Roman"/>
          <w:i/>
          <w:noProof/>
        </w:rPr>
        <w:t>LENSA: Jurnal Sekolah Tinggi Teologi Cipanas</w:t>
      </w:r>
      <w:r w:rsidRPr="00F367BE">
        <w:rPr>
          <w:rFonts w:ascii="Times New Roman" w:hAnsi="Times New Roman" w:cs="Times New Roman"/>
          <w:noProof/>
        </w:rPr>
        <w:t xml:space="preserve"> 2, no. 2 (2005): 35–48.</w:t>
      </w:r>
      <w:r w:rsidRPr="00F367BE">
        <w:rPr>
          <w:rFonts w:ascii="Times New Roman" w:hAnsi="Times New Roman" w:cs="Times New Roman"/>
        </w:rPr>
        <w:fldChar w:fldCharType="end"/>
      </w:r>
    </w:p>
  </w:footnote>
  <w:footnote w:id="17">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{"citationItems":[{"id":"ITEM-1","itemData":{"author":[{"dropping-particle":"","family":"Ludji","given":"Barnabas","non-dropping-particle":"","parse-names":false,"suffix":""}],"container-title":"LENSA: Jurnal Sekolah Tinggi Teologi Cipanas","id":"ITEM-1","issue":"2","issued":{"date-parts":[["2005"]]},"page":"35-48","title":"Umat dalam Konteks Sosial Politik Menurut Perjanjian Lama","type":"article-journal","volume":"2"},"uris":["http://www.mendeley.com/documents/?uuid=fcd61697-c739-4624-8b6e-a879165c7ed7","http://www.mendeley.com/documents/?uuid=94d584fa-adb4-4062-99f1-a75140f529df"]}],"mendeley":{"formattedCitation":"Ibid.","plainTextFormattedCitation":"Ibid.","previouslyFormattedCitation":"Ibid."},"properties":{"noteIndex":16},"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18">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{"citationItems":[{"id":"ITEM-1","itemData":{"author":[{"dropping-particle":"","family":"Ludji","given":"Barnabas","non-dropping-particle":"","parse-names":false,"suffix":""}],"container-title":"LENSA: Jurnal Sekolah Tinggi Teologi Cipanas","id":"ITEM-1","issue":"2","issued":{"date-parts":[["2005"]]},"page":"35-48","title":"Umat dalam Konteks Sosial Politik Menurut Perjanjian Lama","type":"article-journal","volume":"2"},"uris":["http://www.mendeley.com/documents/?uuid=fcd61697-c739-4624-8b6e-a879165c7ed7","http://www.mendeley.com/documents/?uuid=94d584fa-adb4-4062-99f1-a75140f529df"]}],"mendeley":{"formattedCitation":"Ibid.","plainTextFormattedCitation":"Ibid.","previouslyFormattedCitation":"Ibid."},"properties":{"noteIndex":17},"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19">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{"citationItems":[{"id":"ITEM-1","itemData":{"author":[{"dropping-particle":"","family":"Ludji","given":"Barnabas","non-dropping-particle":"","parse-names":false,"suffix":""}],"container-title":"LENSA: Jurnal Sekolah Tinggi Teologi Cipanas","id":"ITEM-1","issue":"2","issued":{"date-parts":[["2005"]]},"page":"35-48","title":"Umat dalam Konteks Sosial Politik Menurut Perjanjian Lama","type":"article-journal","volume":"2"},"uris":["http://www.mendeley.com/documents/?uuid=fcd61697-c739-4624-8b6e-a879165c7ed7","http://www.mendeley.com/documents/?uuid=94d584fa-adb4-4062-99f1-a75140f529df"]}],"mendeley":{"formattedCitation":"Ibid.","plainTextFormattedCitation":"Ibid.","previouslyFormattedCitation":"Ibid."},"properties":{"noteIndex":18},"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20">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{"citationItems":[{"id":"ITEM-1","itemData":{"author":[{"dropping-particle":"","family":"Ludji","given":"Barnabas","non-dropping-particle":"","parse-names":false,"suffix":""}],"container-title":"LENSA: Jurnal Sekolah Tinggi Teologi Cipanas","id":"ITEM-1","issue":"2","issued":{"date-parts":[["2005"]]},"page":"35-48","title":"Umat dalam Konteks Sosial Politik Menurut Perjanjian Lama","type":"article-journal","volume":"2"},"uris":["http://www.mendeley.com/documents/?uuid=fcd61697-c739-4624-8b6e-a879165c7ed7","http://www.mendeley.com/documents/?uuid=94d584fa-adb4-4062-99f1-a75140f529df"]}],"mendeley":{"formattedCitation":"Ibid.","plainTextFormattedCitation":"Ibid.","previouslyFormattedCitation":"Ibid."},"properties":{"noteIndex":19},"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21">
    <w:p w:rsidR="00F367BE" w:rsidRPr="00F367BE" w:rsidRDefault="00F367BE" w:rsidP="00F367BE">
      <w:pPr>
        <w:pStyle w:val="FootnoteText"/>
        <w:ind w:firstLine="709"/>
        <w:jc w:val="both"/>
        <w:rPr>
          <w:rFonts w:ascii="Times New Roman" w:hAnsi="Times New Roman" w:cs="Times New Roman"/>
        </w:rPr>
      </w:pPr>
      <w:bookmarkStart w:id="0" w:name="_GoBack"/>
      <w:bookmarkEnd w:id="0"/>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{"citationItems":[{"id":"ITEM-1","itemData":{"DOI":"10.30648/dun.v1i1.100","ISSN":"2541-3945","abstract":"Khotbah merupakan bagian dari proses ibadah di gereja yang bertujuan memberikan penjelasan kepada warga gereja. Namun demikian, beberapa kotbah yang disampaikan bukannya memberikan penjelasan yang alkitabiah sebaliknya hanya memberikan pernyataan-pernyataan yang ambigu dan ambivalensi, bahkan cenderung provokatif. Khotbah yang disampaikan kiranya kembali pada pola alkitabiah, yaitu khotbah pengajaran seperti yang dilakukan Tuhan Yesus Kristus dan para rasul. Khotbah pengajaran berorientasi pada berita Alkitab yang memiliki wibawa ilahi. Khotbah pengajaran bukanlah kotbah yang memberikan banyak alasan-alasan tertentu, tetapi yang memiliki makna teologi dan aplikatif.Disisi lain, khotbah kontemporer telah diterima dengan tangan terbuka oleh beberapa gereja yang tingkat pemahaman terhadap Alkitab dan iman Kristen masih sah untuk dipertanyakan. Hal itu tidak menjadikan gereja tersebut memiliki perspektif negatif, melainkan semakin meningkatkan kesadaran teologis secara normatif; apakah khotbah yang disampaikan selama ini sudah sehat atau menjadi beban warga gereja sehingga tidak memberikan pertumbuhan spiritualitas seperti yang diharapkan. Kajian ini bersifat eksplanatif-argumentatif, tentang khotbah pengajaran versus khotbah kontemporer, sehingga pada akhirnya pembaca mampu merekonstruksi makna kotbah yang selama ini telah dihidupi dan menghidupkan dalam kehidupannya sehari-hari. Sermon is one of element in church service, which aim to explain the people of God. Nevertheless, some sermons preached not to give biblical explanation, otherwise make some ambiguous, even tend to be provocatively. Sermon presumably back to biblical pattern, that is a teaching sermon what Jesus ever did and also with the apostles. Teaching sermon is biblical oriented, which has divine authority. It is not about giving many reasons, but having theological sense and applicable. In other side, contemporary sermon has been received with hand opened by some churches which their biblical understanding is proper to be questioned. That doesn’t make the church has negative perspective, but more increases theological awareness normatively; either sermon has been preached sensely or become burden for God’s people, so they couldn’t grow up spiritually as expected. This article explains argumentatively about teaching sermon versus contemporary one, which at least the reader can reconstructing the meaning of sermon that has been lived within and living by in daily life.","author":[{"dropping-particle":"","family":"Rey","given":"Kevin Tonny","non-dropping-particle":"","parse-names":false,"suffix":""}],"container-title":"DUNAMIS: Jurnal Penelitian Teologi dan Pendidikan Kristiani","id":"ITEM-1","issue":"1","issued":{"date-parts":[["2016","9"]]},"page":"31","title":"Khotbah Pengajaran Versus Khotbah Kontemporer","type":"article-journal","volume":"1"},"uris":["http://www.mendeley.com/documents/?uuid=2605bf50-fe8d-42a5-8cb0-f42ae5c220ce","http://www.mendeley.com/documents/?uuid=96514fed-f14d-4e59-a747-68c293b1fe08"]}],"mendeley":{"formattedCitation":"Rey, “Khotbah Pengajaran Versus Khotbah Kontemporer.”","plainTextFormattedCitation":"Rey, “Khotbah Pengajaran Versus Khotbah Kontemporer.”","previouslyFormattedCitation":"Rey, “Khotbah Pengajaran Versus Khotbah Kontemporer.”"},"properties":{"noteIndex":20},"schema":"https://github.com/citation-style-language/schema/raw/master/csl-citation.json"}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Rey, “Khotbah Pengajaran Versus Khotbah Kontemporer.”</w:t>
      </w:r>
      <w:r w:rsidRPr="00F367BE">
        <w:rPr>
          <w:rFonts w:ascii="Times New Roman" w:hAnsi="Times New Roman" w:cs="Times New Roman"/>
        </w:rPr>
        <w:fldChar w:fldCharType="end"/>
      </w:r>
    </w:p>
  </w:footnote>
  <w:footnote w:id="22">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{"citationItems":[{"id":"ITEM-1","itemData":{"author":[{"dropping-particle":"","family":"Zuck","given":"Roy B.","non-dropping-particle":"","parse-names":false,"suffix":""}],"id":"ITEM-1","issued":{"date-parts":[["2014"]]},"publisher":"Gandum Mas","publisher-place":"Malang","title":"Hermeneutik: Basic Bible Interpretation","type":"book"},"uris":["http://www.mendeley.com/documents/?uuid=5b132bdb-0791-4a0a-a5df-289be48b1e3e","http://www.mendeley.com/documents/?uuid=f9a40c12-ec05-4f1d-870b-64ecb6f1f0a5"]}],"mendeley":{"formattedCitation":"Roy B. Zuck, &lt;i&gt;Hermeneutik: Basic Bible Interpretation&lt;/i&gt; (Malang: Gandum Mas, 2014).","plainTextFormattedCitation":"Roy B. Zuck, Hermeneutik: Basic Bible Interpretation (Malang: Gandum Mas, 2014).","previouslyFormattedCitation":"Roy B. Zuck, &lt;i&gt;Hermeneutik: Basic Bible Interpretation&lt;/i&gt; (Malang: Gandum Mas, 2014)."},"properties":{"noteIndex":21},"schema":"https://github.com/citation-style-language/schema/raw/master/csl-citation.json"}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Roy B. Zuck, </w:t>
      </w:r>
      <w:r w:rsidRPr="00F367BE">
        <w:rPr>
          <w:rFonts w:ascii="Times New Roman" w:hAnsi="Times New Roman" w:cs="Times New Roman"/>
          <w:i/>
          <w:noProof/>
        </w:rPr>
        <w:t>Hermeneutik: Basic Bible Interpretation</w:t>
      </w:r>
      <w:r w:rsidRPr="00F367BE">
        <w:rPr>
          <w:rFonts w:ascii="Times New Roman" w:hAnsi="Times New Roman" w:cs="Times New Roman"/>
          <w:noProof/>
        </w:rPr>
        <w:t xml:space="preserve"> (Malang: Gandum Mas, 2014).</w:t>
      </w:r>
      <w:r w:rsidRPr="00F367BE">
        <w:rPr>
          <w:rFonts w:ascii="Times New Roman" w:hAnsi="Times New Roman" w:cs="Times New Roman"/>
        </w:rPr>
        <w:fldChar w:fldCharType="end"/>
      </w:r>
    </w:p>
  </w:footnote>
  <w:footnote w:id="23">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{"citationItems":[{"id":"ITEM-1","itemData":{"author":[{"dropping-particle":"","family":"Zuck","given":"Roy B.","non-dropping-particle":"","parse-names":false,"suffix":""}],"id":"ITEM-1","issued":{"date-parts":[["2014"]]},"publisher":"Gandum Mas","publisher-place":"Malang","title":"Hermeneutik: Basic Bible Interpretation","type":"book"},"uris":["http://www.mendeley.com/documents/?uuid=f9a40c12-ec05-4f1d-870b-64ecb6f1f0a5","http://www.mendeley.com/documents/?uuid=5b132bdb-0791-4a0a-a5df-289be48b1e3e"]}],"mendeley":{"formattedCitation":"Ibid.","plainTextFormattedCitation":"Ibid.","previouslyFormattedCitation":"Ibid."},"properties":{"noteIndex":22},"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24">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{"citationItems":[{"id":"ITEM-1","itemData":{"DOI":"10.51828/td.v7i1.103","ISSN":"2746-7619","abstract":"Pada tataran apa pun di masyarakat ada kebutuhan yang kuat agar para pemimpin mereka memiliki hidup berintegritas. Masalah integritas dipandang sebagai tuntutan yang sangat mendasar dan mutlak bagi seorang pengkhotbah.Alkitab banyak membicarakan tentang dasar-dasar pentingnya intergritas pasca keberdosaan manusia yang pertama.Yesus adalah model pengkhotbah yang berintegritas secara sempurna.Injil kerajaan yang diberitakan oleh Yesus memanggil orang berdosa supaya bertobat di hadapan Allah.Apa yang diberitakan bukan untuk menyukakan kehendak manusia yang berdosa, tetapi supaya mereka hidup dalam pertobatan. Terpenuhinya aspek-aspek integritas bagi seorang pengkhotbah apabila dipadukan dengan kualitas khotbah akan menjadikan instrumen ini untuk menumbuhkan iman pendengar seperti yang dikendaki oleh Allah. Kebutuhan ini manjadi urgen karena antara integritas seorang pengkhotbah dengan kualitas khotbah dapat berimplikasi bagi pertumbuhan spiritual orang percaya.","author":[{"dropping-particle":"","family":"Sunarto","given":"","non-dropping-particle":"","parse-names":false,"suffix":""}],"container-title":"TE DEUM (Jurnal Teologi dan Pengembangan Pelayanan)","id":"ITEM-1","issue":"1","issued":{"date-parts":[["2021","4"]]},"page":"77-99","title":"Integritas Seorang Pengkhotbah dan Kualitas Khotbah dalam Pemberitaan Firman Tuhan","type":"article-journal","volume":"7"},"uris":["http://www.mendeley.com/documents/?uuid=d9b1ecfd-7e9d-404a-baf6-879e69043938"]}],"mendeley":{"formattedCitation":"Sunarto, “Integritas Seorang Pengkhotbah Dan Kualitas Khotbah Dalam Pemberitaan Firman Tuhan.”","plainTextFormattedCitation":"Sunarto, “Integritas Seorang Pengkhotbah Dan Kualitas Khotbah Dalam Pemberitaan Firman Tuhan.”","previouslyFormattedCitation":"Sunarto, “Integritas Seorang Pengkhotbah Dan Kualitas Khotbah Dalam Pemberitaan Firman Tuhan.”"},"properties":{"noteIndex":23},"schema":"https://github.com/citation-style-language/schema/raw/master/csl-citation.json"}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Sunarto, “Integritas Seorang Pengkhotbah Dan Kualitas Khotbah Dalam Pemberitaan Firman Tuhan.”</w:t>
      </w:r>
      <w:r w:rsidRPr="00F367BE">
        <w:rPr>
          <w:rFonts w:ascii="Times New Roman" w:hAnsi="Times New Roman" w:cs="Times New Roman"/>
        </w:rPr>
        <w:fldChar w:fldCharType="end"/>
      </w:r>
    </w:p>
  </w:footnote>
  <w:footnote w:id="25">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{"citationItems":[{"id":"ITEM-1","itemData":{"DOI":"10.47457/phr.v1i1.7","ISSN":"2723-6617","abstract":"Khotbah di dalam ibadah Kristen adalah menjadi suatu yang terpenting dan terutama dari semua rangkaian ibadah. Baik di gereja maupun di persekutuan umat Kristen. Khotbah merupakan pusat dalam ibadah Kristen. Berkhotbah adalah sebuah tugas rohani yang penting dan mulia. Khotbah adalah suatu proses yang membangun pengkhotbah dan jemaat, tidak ada penjelasan yang seolah bisa menangkap kedinamisan ini. Untuk itu\\seorang pengkhotbah adalah seorang yang dipanggil Tuhan dan dipercayai umat Tuhan untuk menjelaskan firman-Nya.","author":[{"dropping-particle":"","family":"Sibarani","given":"Mortan","non-dropping-particle":"","parse-names":false,"suffix":""}],"container-title":"Phronesis: Jurnal Teologi dan Misi","id":"ITEM-1","issue":"1","issued":{"date-parts":[["2020","7","14"]]},"page":"83-96","title":"DESKRIPSI TENTANG KHOTBAH YANG BERKUASA SECARA ALKITABIAH","type":"article-journal","volume":"1"},"uris":["http://www.mendeley.com/documents/?uuid=af18cd6e-32fe-49d7-8c35-afdce10a13ad"]}],"mendeley":{"formattedCitation":"Sibarani, “DESKRIPSI TENTANG KHOTBAH YANG BERKUASA SECARA ALKITABIAH.”","plainTextFormattedCitation":"Sibarani, “DESKRIPSI TENTANG KHOTBAH YANG BERKUASA SECARA ALKITABIAH.”","previouslyFormattedCitation":"Sibarani, “DESKRIPSI TENTANG KHOTBAH YANG BERKUASA SECARA ALKITABIAH.”"},"properties":{"noteIndex":24},"schema":"https://github.com/citation-style-language/schema/raw/master/csl-citation.json"}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Sibarani, “DESKRIPSI TENTANG KHOTBAH YANG BERKUASA SECARA ALKITABIAH.”</w:t>
      </w:r>
      <w:r w:rsidRPr="00F367BE">
        <w:rPr>
          <w:rFonts w:ascii="Times New Roman" w:hAnsi="Times New Roman" w:cs="Times New Roman"/>
        </w:rPr>
        <w:fldChar w:fldCharType="end"/>
      </w:r>
    </w:p>
  </w:footnote>
  <w:footnote w:id="26">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{"citationItems":[{"id":"ITEM-1","itemData":{"DOI":"10.46348/car.v1i1.13","ISSN":"2722-1393","abstract":"Abstract. This article examines the correlation between expository preaching and congregational enthusiasm in worship at GBI Mawar Sharon Cileungsi. The research was conducted with quantitative research methods. After conducting research in accordance with a standard methodology, the results obtained from the calculation of the correlation between the two variables amounted to 0.764 and included in the positive and strong category. Based on the regression test the regression results obtained between the two variables amounted to 0.575 or 57% which means that the application of the influence of expository sermons contributed 57% to the increase in enthusiasm of worshipers in church worship. The application of expository sermons to increase congregational enthusiasm in worship can be applied because it has good influence, but this cannot be used as the sole reference because there are still other factors that affect the level of enthusiasm of the congregation.Abstrak. Artikel ini mengkaji korelasi khotbah ekspositori dan antusias jemaat dalam beribadah di GBI Mawar Sharon Cileungsi. Adapun penelitian ini dilakukan dengan metode penelitian kuantitatif. Setelah melakukan penelitian sesuai dengan metodologi yang baku, maka didapat hasil perhitungan korelasi antara kedua variabel adalah sebesar 0,764 dan masuk pada kategori positif dan kuat. Berdasarkan uji regresi didapat hasil regresi antara kedua variabel sebesar 0,575 atau 57% yang berarti bahwa penerapan pengaruh khotbah ekspositori memberi kontribusi sebesar 57% terhadap peningkatan antusias jemaat dalam beribadah di gereja. Penerapan khotbah ekspositori untuk meningkatkan antusias jemaat dalam beribadah bisa diterapkan karena memiliki pengaruh yang baik, namun hal tersebut tidak bisa dijadikan satu-satunya acuan karena masih ada faktor-faktor lain yang mempengaruhi tingkat antusias jemaat.","author":[{"dropping-particle":"","family":"Waruwu","given":"Adelius","non-dropping-particle":"","parse-names":false,"suffix":""},{"dropping-particle":"","family":"Silalahi","given":"Junior Natan","non-dropping-particle":"","parse-names":false,"suffix":""},{"dropping-particle":"","family":"Johannis","given":"Abraham","non-dropping-particle":"","parse-names":false,"suffix":""},{"dropping-particle":"","family":"Siahaan","given":"Haposan","non-dropping-particle":"","parse-names":false,"suffix":""}],"container-title":"CARAKA: Jurnal Teologi Biblika dan Praktika","id":"ITEM-1","issue":"1","issued":{"date-parts":[["2020","5"]]},"page":"52-64","title":"Korelasi Khotbah Ekspositori dan Antusias Jemaat dalam Beribadah di GBI Mawar Sharon Cileungsi","type":"article-journal","volume":"1"},"uris":["http://www.mendeley.com/documents/?uuid=d4bd13c4-9ba6-4756-9129-52fb727633da","http://www.mendeley.com/documents/?uuid=3f2781c8-71a1-42dc-9239-11b6e3c9258c"]}],"mendeley":{"formattedCitation":"Adelius Waruwu et al., “Korelasi Khotbah Ekspositori Dan Antusias Jemaat Dalam Beribadah Di GBI Mawar Sharon Cileungsi,” &lt;i&gt;CARAKA: Jurnal Teologi Biblika dan Praktika&lt;/i&gt; 1, no. 1 (May 2020): 52–64.","plainTextFormattedCitation":"Adelius Waruwu et al., “Korelasi Khotbah Ekspositori Dan Antusias Jemaat Dalam Beribadah Di GBI Mawar Sharon Cileungsi,” CARAKA: Jurnal Teologi Biblika dan Praktika 1, no. 1 (May 2020): 52–64.","previouslyFormattedCitation":"Adelius Waruwu et al., “Korelasi Khotbah Ekspositori Dan Antusias Jemaat Dalam Beribadah Di GBI Mawar Sharon Cileungsi,” &lt;i&gt;CARAKA: Jurnal Teologi Biblika dan Praktika&lt;/i&gt; 1, no. 1 (May 2020): 52–64."},"properties":{"noteIndex":25},"schema":"https://github.com/citation-style-language/schema/raw/master/csl-citation.json"}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Adelius Waruwu et al., “Korelasi Khotbah Ekspositori Dan Antusias Jemaat Dalam Beribadah Di GBI Mawar Sharon Cileungsi,” </w:t>
      </w:r>
      <w:r w:rsidRPr="00F367BE">
        <w:rPr>
          <w:rFonts w:ascii="Times New Roman" w:hAnsi="Times New Roman" w:cs="Times New Roman"/>
          <w:i/>
          <w:noProof/>
        </w:rPr>
        <w:t>CARAKA: Jurnal Teologi Biblika dan Praktika</w:t>
      </w:r>
      <w:r w:rsidRPr="00F367BE">
        <w:rPr>
          <w:rFonts w:ascii="Times New Roman" w:hAnsi="Times New Roman" w:cs="Times New Roman"/>
          <w:noProof/>
        </w:rPr>
        <w:t xml:space="preserve"> 1, no. 1 (May 2020): 52–64.</w:t>
      </w:r>
      <w:r w:rsidRPr="00F367BE">
        <w:rPr>
          <w:rFonts w:ascii="Times New Roman" w:hAnsi="Times New Roman" w:cs="Times New Roman"/>
        </w:rPr>
        <w:fldChar w:fldCharType="end"/>
      </w:r>
    </w:p>
  </w:footnote>
  <w:footnote w:id="27">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{"citationItems":[{"id":"ITEM-1","itemData":{"DOI":"10.51828/td.v7i1.103","ISSN":"2746-7619","abstract":"Pada tataran apa pun di masyarakat ada kebutuhan yang kuat agar para pemimpin mereka memiliki hidup berintegritas. Masalah integritas dipandang sebagai tuntutan yang sangat mendasar dan mutlak bagi seorang pengkhotbah.Alkitab banyak membicarakan tentang dasar-dasar pentingnya intergritas pasca keberdosaan manusia yang pertama.Yesus adalah model pengkhotbah yang berintegritas secara sempurna.Injil kerajaan yang diberitakan oleh Yesus memanggil orang berdosa supaya bertobat di hadapan Allah.Apa yang diberitakan bukan untuk menyukakan kehendak manusia yang berdosa, tetapi supaya mereka hidup dalam pertobatan. Terpenuhinya aspek-aspek integritas bagi seorang pengkhotbah apabila dipadukan dengan kualitas khotbah akan menjadikan instrumen ini untuk menumbuhkan iman pendengar seperti yang dikendaki oleh Allah. Kebutuhan ini manjadi urgen karena antara integritas seorang pengkhotbah dengan kualitas khotbah dapat berimplikasi bagi pertumbuhan spiritual orang percaya.","author":[{"dropping-particle":"","family":"Sunarto","given":"","non-dropping-particle":"","parse-names":false,"suffix":""}],"container-title":"TE DEUM (Jurnal Teologi dan Pengembangan Pelayanan)","id":"ITEM-1","issue":"1","issued":{"date-parts":[["2021","4"]]},"page":"77-99","title":"Integritas Seorang Pengkhotbah dan Kualitas Khotbah dalam Pemberitaan Firman Tuhan","type":"article-journal","volume":"7"},"uris":["http://www.mendeley.com/documents/?uuid=d9b1ecfd-7e9d-404a-baf6-879e69043938"]}],"mendeley":{"formattedCitation":"Sunarto, “Integritas Seorang Pengkhotbah Dan Kualitas Khotbah Dalam Pemberitaan Firman Tuhan.”","plainTextFormattedCitation":"Sunarto, “Integritas Seorang Pengkhotbah Dan Kualitas Khotbah Dalam Pemberitaan Firman Tuhan.”","previouslyFormattedCitation":"Sunarto, “Integritas Seorang Pengkhotbah Dan Kualitas Khotbah Dalam Pemberitaan Firman Tuhan.”"},"properties":{"noteIndex":26},"schema":"https://github.com/citation-style-language/schema/raw/master/csl-citation.json"}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Sunarto, “Integritas Seorang Pengkhotbah Dan Kualitas Khotbah Dalam Pemberitaan Firman Tuhan.”</w:t>
      </w:r>
      <w:r w:rsidRPr="00F367BE">
        <w:rPr>
          <w:rFonts w:ascii="Times New Roman" w:hAnsi="Times New Roman" w:cs="Times New Roman"/>
        </w:rPr>
        <w:fldChar w:fldCharType="end"/>
      </w:r>
    </w:p>
  </w:footnote>
  <w:footnote w:id="28">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{"citationItems":[{"id":"ITEM-1","itemData":{"DOI":"10.51828/td.v7i2.50","ISSN":"2746-7619","abstract":"Kehausan jemaat dalam mendengarkan berita khotbah kadang dilumpuhkan oleh materi khotbah dan komunikasi mimbar yang lemah. Dua dimensi khotbah yang harus diperkuat secara seimbang adalah materi khotbah yang alkitabiah dan komunikasi mimbar yang baik. Menimbulkan minat pada khotbah bukan saja menuntut pada diri pendengar, tetapi harus ada kemauan yang kuat bagi pengkhotbah untuk menyiapkan materi khotbah yang tepat dan membangun komunikasi mimbar yang baik. Apabila satu diantaranya terbaikan maka tujuan mulia dari pelayanan mimbar menjadi menjadi tidak maksimal.","author":[{"dropping-particle":"","family":"Sunarto","given":"","non-dropping-particle":"","parse-names":false,"suffix":""}],"container-title":"TE DEUM (Jurnal Teologi dan Pengembangan Pelayanan)","id":"ITEM-1","issue":"2","issued":{"date-parts":[["2021","4","8"]]},"page":"179-199","title":"Materi Khotbah Dan Komunikasi Mimbar","type":"article-journal","volume":"7"},"uris":["http://www.mendeley.com/documents/?uuid=603f2cad-8633-4282-9334-381859e7a77f"]}],"mendeley":{"formattedCitation":"Sunarto, “Materi Khotbah Dan Komunikasi Mimbar.”","plainTextFormattedCitation":"Sunarto, “Materi Khotbah Dan Komunikasi Mimbar.”","previouslyFormattedCitation":"Sunarto, “Materi Khotbah Dan Komunikasi Mimbar.”"},"properties":{"noteIndex":27},"schema":"https://github.com/citation-style-language/schema/raw/master/csl-citation.json"}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Sunarto, “Materi Khotbah Dan Komunikasi Mimbar.”</w:t>
      </w:r>
      <w:r w:rsidRPr="00F367BE">
        <w:rPr>
          <w:rFonts w:ascii="Times New Roman" w:hAnsi="Times New Roman" w:cs="Times New Roman"/>
        </w:rPr>
        <w:fldChar w:fldCharType="end"/>
      </w:r>
    </w:p>
  </w:footnote>
  <w:footnote w:id="29">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{"citationItems":[{"id":"ITEM-1","itemData":{"DOI":"10.51828/td.v7i2.50","ISSN":"2746-7619","abstract":"Kehausan jemaat dalam mendengarkan berita khotbah kadang dilumpuhkan oleh materi khotbah dan komunikasi mimbar yang lemah. Dua dimensi khotbah yang harus diperkuat secara seimbang adalah materi khotbah yang alkitabiah dan komunikasi mimbar yang baik. Menimbulkan minat pada khotbah bukan saja menuntut pada diri pendengar, tetapi harus ada kemauan yang kuat bagi pengkhotbah untuk menyiapkan materi khotbah yang tepat dan membangun komunikasi mimbar yang baik. Apabila satu diantaranya terbaikan maka tujuan mulia dari pelayanan mimbar menjadi menjadi tidak maksimal.","author":[{"dropping-particle":"","family":"Sunarto","given":"","non-dropping-particle":"","parse-names":false,"suffix":""}],"container-title":"TE DEUM (Jurnal Teologi dan Pengembangan Pelayanan)","id":"ITEM-1","issue":"2","issued":{"date-parts":[["2021","4","8"]]},"page":"179-199","title":"Materi Khotbah Dan Komunikasi Mimbar","type":"article-journal","volume":"7"},"uris":["http://www.mendeley.com/documents/?uuid=603f2cad-8633-4282-9334-381859e7a77f"]}],"mendeley":{"formattedCitation":"Ibid.","plainTextFormattedCitation":"Ibid.","previouslyFormattedCitation":"Ibid."},"properties":{"noteIndex":28},"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30">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Sunarto","given":"","non-dropping-particle":"","parse-names":false,"suffix":""}],"id":"ITEM-1","issued":{"date-parts":[["2022"]]},"number-of-pages":"1-18","publisher-place":"Cianjur","title":"Materi Pembelajaran Hermeneutika dan Homilitika","type":"report"},"uris":["http://www.mendeley.com/documents/?uuid=22da7647-8658-4cd9-b372-f71daa22fb7e","http://www.mendeley.com/documents/?uuid=e934a40f-f41a-4722-8140-2824029f8225"]}],"mendeley":{"formattedCitation":"Sunarto, &lt;i&gt;Materi Pembelajaran Hermeneutika Dan Homilitika&lt;/i&gt; (Cianjur, 2022).","plainTextFormattedCitation":"Sunarto, Materi Pembelajaran Hermeneutika Dan Homilitika (Cianjur, 2022).","previouslyFormattedCitation":"Sunarto, &lt;i&gt;Materi Pembelajaran Hermeneutika Dan Homilitika&lt;/i&gt; (Cianjur, 2022)."},"properties":{"noteIndex":29},"schema":"https://github.com/citation-style-language/schema/raw/master/csl-citation.json"}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Sunarto, </w:t>
      </w:r>
      <w:r w:rsidRPr="00F367BE">
        <w:rPr>
          <w:rFonts w:ascii="Times New Roman" w:hAnsi="Times New Roman" w:cs="Times New Roman"/>
          <w:i/>
          <w:noProof/>
        </w:rPr>
        <w:t>Materi Pembelajaran Hermeneutika Dan Homilitika</w:t>
      </w:r>
      <w:r w:rsidRPr="00F367BE">
        <w:rPr>
          <w:rFonts w:ascii="Times New Roman" w:hAnsi="Times New Roman" w:cs="Times New Roman"/>
          <w:noProof/>
        </w:rPr>
        <w:t xml:space="preserve"> (Cianjur, 2022).</w:t>
      </w:r>
      <w:r w:rsidRPr="00F367BE">
        <w:rPr>
          <w:rFonts w:ascii="Times New Roman" w:hAnsi="Times New Roman" w:cs="Times New Roman"/>
        </w:rPr>
        <w:fldChar w:fldCharType="end"/>
      </w:r>
    </w:p>
  </w:footnote>
  <w:footnote w:id="31">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Hutauruk","given":"Marlan","non-dropping-particle":"","parse-names":false,"suffix":""},{"dropping-particle":"","family":"Verawaty","given":"Hotliong","non-dropping-particle":"","parse-names":false,"suffix":""},{"dropping-particle":"","family":"Mandobar","given":"Dortheys H. E. Fureuw","non-dropping-particle":"","parse-names":false,"suffix":""}],"container-title":"Tepian: Jurnal Misiologi dan Komunikasi Kristen","id":"ITEM-1","issue":"1","issued":{"date-parts":[["2021"]]},"page":"16-24","title":"Komunikasi dan Khotbah","type":"article-journal","volume":"1"},"uris":["http://www.mendeley.com/documents/?uuid=a2add137-3035-47ae-967f-de69fd0d6a99","http://www.mendeley.com/documents/?uuid=83a68fb5-396e-4ce5-a020-bf674c76febb"]}],"mendeley":{"formattedCitation":"Marlan Hutauruk, Hotliong Verawaty, and Dortheys H. E. Fureuw Mandobar, “Komunikasi Dan Khotbah,” &lt;i&gt;Tepian: Jurnal Misiologi dan Komunikasi Kristen&lt;/i&gt; 1, no. 1 (2021): 16–24.","plainTextFormattedCitation":"Marlan Hutauruk, Hotliong Verawaty, and Dortheys H. E. Fureuw Mandobar, “Komunikasi Dan Khotbah,” Tepian: Jurnal Misiologi dan Komunikasi Kristen 1, no. 1 (2021): 16–24.","previouslyFormattedCitation":"Marlan Hutauruk, Hotliong Verawaty, and Dortheys H. E. Fureuw Mandobar, “Komunikasi Dan Khotbah,” &lt;i&gt;Tepian: Jurnal Misiologi dan Komunikasi Kristen&lt;/i&gt; 1, no. 1 (2021): 16–24."},"properties":{"noteIndex":30},"schema":"https://github.com/citation-style-language/schema/raw/master/csl-citation.json"}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 xml:space="preserve">Marlan Hutauruk, Hotliong Verawaty, and Dortheys H. E. Fureuw Mandobar, “Komunikasi Dan Khotbah,” </w:t>
      </w:r>
      <w:r w:rsidRPr="00F367BE">
        <w:rPr>
          <w:rFonts w:ascii="Times New Roman" w:hAnsi="Times New Roman" w:cs="Times New Roman"/>
          <w:i/>
          <w:noProof/>
        </w:rPr>
        <w:t>Tepian: Jurnal Misiologi dan Komunikasi Kristen</w:t>
      </w:r>
      <w:r w:rsidRPr="00F367BE">
        <w:rPr>
          <w:rFonts w:ascii="Times New Roman" w:hAnsi="Times New Roman" w:cs="Times New Roman"/>
          <w:noProof/>
        </w:rPr>
        <w:t xml:space="preserve"> 1, no. 1 (2021): 16–24.</w:t>
      </w:r>
      <w:r w:rsidRPr="00F367BE">
        <w:rPr>
          <w:rFonts w:ascii="Times New Roman" w:hAnsi="Times New Roman" w:cs="Times New Roman"/>
        </w:rPr>
        <w:fldChar w:fldCharType="end"/>
      </w:r>
    </w:p>
  </w:footnote>
  <w:footnote w:id="32">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Hutauruk","given":"Marlan","non-dropping-particle":"","parse-names":false,"suffix":""},{"dropping-particle":"","family":"Verawaty","given":"Hotliong","non-dropping-particle":"","parse-names":false,"suffix":""},{"dropping-particle":"","family":"Mandobar","given":"Dortheys H. E. Fureuw","non-dropping-particle":"","parse-names":false,"suffix":""}],"container-title":"Tepian: Jurnal Misiologi dan Komunikasi Kristen","id":"ITEM-1","issue":"1","issued":{"date-parts":[["2021"]]},"page":"16-24","title":"Komunikasi dan Khotbah","type":"article-journal","volume":"1"},"uris":["http://www.mendeley.com/documents/?uuid=83a68fb5-396e-4ce5-a020-bf674c76febb","http://www.mendeley.com/documents/?uuid=a2add137-3035-47ae-967f-de69fd0d6a99"]}],"mendeley":{"formattedCitation":"Ibid.","plainTextFormattedCitation":"Ibid.","previouslyFormattedCitation":"Ibid."},"properties":{"noteIndex":31},"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33">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author":[{"dropping-particle":"","family":"Hutauruk","given":"Marlan","non-dropping-particle":"","parse-names":false,"suffix":""},{"dropping-particle":"","family":"Verawaty","given":"Hotliong","non-dropping-particle":"","parse-names":false,"suffix":""},{"dropping-particle":"","family":"Mandobar","given":"Dortheys H. E. Fureuw","non-dropping-particle":"","parse-names":false,"suffix":""}],"container-title":"Tepian: Jurnal Misiologi dan Komunikasi Kristen","id":"ITEM-1","issue":"1","issued":{"date-parts":[["2021"]]},"page":"16-24","title":"Komunikasi dan Khotbah","type":"article-journal","volume":"1"},"uris":["http://www.mendeley.com/documents/?uuid=83a68fb5-396e-4ce5-a020-bf674c76febb","http://www.mendeley.com/documents/?uuid=a2add137-3035-47ae-967f-de69fd0d6a99"]}],"mendeley":{"formattedCitation":"Ibid.","plainTextFormattedCitation":"Ibid.","previouslyFormattedCitation":"Ibid."},"properties":{"noteIndex":32},"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Ibid.</w:t>
      </w:r>
      <w:r w:rsidRPr="00F367BE">
        <w:rPr>
          <w:rFonts w:ascii="Times New Roman" w:hAnsi="Times New Roman" w:cs="Times New Roman"/>
        </w:rPr>
        <w:fldChar w:fldCharType="end"/>
      </w:r>
    </w:p>
  </w:footnote>
  <w:footnote w:id="34">
    <w:p w:rsidR="00F367BE" w:rsidRPr="00F367BE" w:rsidRDefault="00F367BE" w:rsidP="00F367BE">
      <w:pPr>
        <w:pStyle w:val="FootnoteText"/>
        <w:ind w:firstLine="709"/>
        <w:jc w:val="both"/>
        <w:rPr>
          <w:rFonts w:ascii="Times New Roman" w:hAnsi="Times New Roman" w:cs="Times New Roman"/>
        </w:rPr>
      </w:pPr>
      <w:r w:rsidRPr="00F367BE">
        <w:rPr>
          <w:rStyle w:val="FootnoteReference"/>
          <w:rFonts w:ascii="Times New Roman" w:hAnsi="Times New Roman" w:cs="Times New Roman"/>
        </w:rPr>
        <w:footnoteRef/>
      </w:r>
      <w:r w:rsidRPr="00F367BE">
        <w:rPr>
          <w:rFonts w:ascii="Times New Roman" w:hAnsi="Times New Roman" w:cs="Times New Roman"/>
        </w:rPr>
        <w:fldChar w:fldCharType="begin" w:fldLock="1"/>
      </w:r>
      <w:r w:rsidRPr="00F367BE">
        <w:rPr>
          <w:rFonts w:ascii="Times New Roman" w:hAnsi="Times New Roman" w:cs="Times New Roman"/>
        </w:rPr>
        <w:instrText>ADDIN CSL_CITATION {"citationItems":[{"id":"ITEM-1","itemData":{"DOI":"10.51828/td.v7i2.50","ISSN":"2746-7619","abstract":"Kehausan jemaat dalam mendengarkan berita khotbah kadang dilumpuhkan oleh materi khotbah dan komunikasi mimbar yang lemah. Dua dimensi khotbah yang harus diperkuat secara seimbang adalah materi khotbah yang alkitabiah dan komunikasi mimbar yang baik. Menimbulkan minat pada khotbah bukan saja menuntut pada diri pendengar, tetapi harus ada kemauan yang kuat bagi pengkhotbah untuk menyiapkan materi khotbah yang tepat dan membangun komunikasi mimbar yang baik. Apabila satu diantaranya terbaikan maka tujuan mulia dari pelayanan mimbar menjadi menjadi tidak maksimal.","author":[{"dropping-particle":"","family":"Sunarto","given":"","non-dropping-particle":"","parse-names":false,"suffix":""}],"container-title":"TE DEUM (Jurnal Teologi dan Pengembangan Pelayanan)","id":"ITEM-1","issue":"2","issued":{"date-parts":[["2021","4","8"]]},"page":"179-199","title":"Materi Khotbah Dan Komunikasi Mimbar","type":"article-journal","volume":"7"},"uris":["http://www.mendeley.com/documents/?uuid=603f2cad-8633-4282-9334-381859e7a77f"]}],"mendeley":{"formattedCitation":"Sunarto, “Materi Khotbah Dan Komunikasi Mimbar.”","plainTextFormattedCitation":"Sunarto, “Materi Khotbah Dan Komunikasi Mimbar.”","previouslyFormattedCitation":"Sunarto, “Materi Khotbah Dan Komunikasi Mimbar.”"},"properties":{"noteIndex":33},"schema":"https://github.com/citation-style-language/schema/raw/master/csl-citation.json"}</w:instrText>
      </w:r>
      <w:r w:rsidRPr="00F367BE">
        <w:rPr>
          <w:rFonts w:ascii="Times New Roman" w:hAnsi="Times New Roman" w:cs="Times New Roman"/>
        </w:rPr>
        <w:fldChar w:fldCharType="separate"/>
      </w:r>
      <w:r w:rsidRPr="00F367BE">
        <w:rPr>
          <w:rFonts w:ascii="Times New Roman" w:hAnsi="Times New Roman" w:cs="Times New Roman"/>
          <w:noProof/>
        </w:rPr>
        <w:t>Sunarto, “Materi Khotbah Dan Komunikasi Mimbar.”</w:t>
      </w:r>
      <w:r w:rsidRPr="00F367BE">
        <w:rPr>
          <w:rFonts w:ascii="Times New Roman" w:hAnsi="Times New Roman" w:cs="Times New Roman"/>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B0C"/>
    <w:multiLevelType w:val="multilevel"/>
    <w:tmpl w:val="3A10DA8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93F6F9E"/>
    <w:multiLevelType w:val="multilevel"/>
    <w:tmpl w:val="B7F00946"/>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EBC5F52"/>
    <w:multiLevelType w:val="multilevel"/>
    <w:tmpl w:val="BEE25F7E"/>
    <w:lvl w:ilvl="0">
      <w:start w:val="1"/>
      <w:numFmt w:val="decimal"/>
      <w:lvlText w:val="%1."/>
      <w:lvlJc w:val="left"/>
      <w:pPr>
        <w:ind w:left="72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14338"/>
  </w:hdrShapeDefaults>
  <w:footnotePr>
    <w:footnote w:id="0"/>
    <w:footnote w:id="1"/>
  </w:footnotePr>
  <w:endnotePr>
    <w:endnote w:id="0"/>
    <w:endnote w:id="1"/>
  </w:endnotePr>
  <w:compat/>
  <w:rsids>
    <w:rsidRoot w:val="00121E50"/>
    <w:rsid w:val="00021972"/>
    <w:rsid w:val="000F52D2"/>
    <w:rsid w:val="0010367C"/>
    <w:rsid w:val="00121E50"/>
    <w:rsid w:val="00224E22"/>
    <w:rsid w:val="003B6933"/>
    <w:rsid w:val="003C30D0"/>
    <w:rsid w:val="003D3DAD"/>
    <w:rsid w:val="004574CB"/>
    <w:rsid w:val="00461E86"/>
    <w:rsid w:val="00531859"/>
    <w:rsid w:val="00790858"/>
    <w:rsid w:val="007B496D"/>
    <w:rsid w:val="007F6745"/>
    <w:rsid w:val="00855072"/>
    <w:rsid w:val="008A0274"/>
    <w:rsid w:val="008B0199"/>
    <w:rsid w:val="009A2E46"/>
    <w:rsid w:val="00A66B2F"/>
    <w:rsid w:val="00A82246"/>
    <w:rsid w:val="00A83897"/>
    <w:rsid w:val="00AA654A"/>
    <w:rsid w:val="00B05CFD"/>
    <w:rsid w:val="00B726CF"/>
    <w:rsid w:val="00B86020"/>
    <w:rsid w:val="00C150F2"/>
    <w:rsid w:val="00C8523F"/>
    <w:rsid w:val="00CC1AB6"/>
    <w:rsid w:val="00D4729F"/>
    <w:rsid w:val="00D85801"/>
    <w:rsid w:val="00E50778"/>
    <w:rsid w:val="00EB702B"/>
    <w:rsid w:val="00F35399"/>
    <w:rsid w:val="00F367BE"/>
    <w:rsid w:val="00F667D8"/>
    <w:rsid w:val="00FB43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26"/>
    <w:pPr>
      <w:autoSpaceDE w:val="0"/>
      <w:autoSpaceDN w:val="0"/>
    </w:pPr>
    <w:rPr>
      <w:lang w:bidi="en-US"/>
    </w:rPr>
  </w:style>
  <w:style w:type="paragraph" w:styleId="Heading1">
    <w:name w:val="heading 1"/>
    <w:basedOn w:val="Normal"/>
    <w:link w:val="Heading1Char"/>
    <w:uiPriority w:val="9"/>
    <w:qFormat/>
    <w:rsid w:val="003B2226"/>
    <w:pPr>
      <w:ind w:left="748"/>
      <w:outlineLvl w:val="0"/>
    </w:pPr>
    <w:rPr>
      <w:b/>
      <w:bCs/>
      <w:sz w:val="24"/>
      <w:szCs w:val="24"/>
    </w:rPr>
  </w:style>
  <w:style w:type="paragraph" w:styleId="Heading2">
    <w:name w:val="heading 2"/>
    <w:basedOn w:val="normal0"/>
    <w:next w:val="normal0"/>
    <w:rsid w:val="00121E50"/>
    <w:pPr>
      <w:keepNext/>
      <w:keepLines/>
      <w:spacing w:before="360" w:after="80"/>
      <w:outlineLvl w:val="1"/>
    </w:pPr>
    <w:rPr>
      <w:b/>
      <w:sz w:val="36"/>
      <w:szCs w:val="36"/>
    </w:rPr>
  </w:style>
  <w:style w:type="paragraph" w:styleId="Heading3">
    <w:name w:val="heading 3"/>
    <w:basedOn w:val="normal0"/>
    <w:next w:val="normal0"/>
    <w:rsid w:val="00121E50"/>
    <w:pPr>
      <w:keepNext/>
      <w:keepLines/>
      <w:spacing w:before="280" w:after="80"/>
      <w:outlineLvl w:val="2"/>
    </w:pPr>
    <w:rPr>
      <w:b/>
      <w:sz w:val="28"/>
      <w:szCs w:val="28"/>
    </w:rPr>
  </w:style>
  <w:style w:type="paragraph" w:styleId="Heading4">
    <w:name w:val="heading 4"/>
    <w:basedOn w:val="normal0"/>
    <w:next w:val="normal0"/>
    <w:rsid w:val="00121E50"/>
    <w:pPr>
      <w:keepNext/>
      <w:keepLines/>
      <w:spacing w:before="240" w:after="40"/>
      <w:outlineLvl w:val="3"/>
    </w:pPr>
    <w:rPr>
      <w:b/>
      <w:sz w:val="24"/>
      <w:szCs w:val="24"/>
    </w:rPr>
  </w:style>
  <w:style w:type="paragraph" w:styleId="Heading5">
    <w:name w:val="heading 5"/>
    <w:basedOn w:val="normal0"/>
    <w:next w:val="normal0"/>
    <w:rsid w:val="00121E50"/>
    <w:pPr>
      <w:keepNext/>
      <w:keepLines/>
      <w:spacing w:before="220" w:after="40"/>
      <w:outlineLvl w:val="4"/>
    </w:pPr>
    <w:rPr>
      <w:b/>
    </w:rPr>
  </w:style>
  <w:style w:type="paragraph" w:styleId="Heading6">
    <w:name w:val="heading 6"/>
    <w:basedOn w:val="normal0"/>
    <w:next w:val="normal0"/>
    <w:rsid w:val="00121E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21E50"/>
  </w:style>
  <w:style w:type="paragraph" w:styleId="Title">
    <w:name w:val="Title"/>
    <w:basedOn w:val="normal0"/>
    <w:next w:val="normal0"/>
    <w:rsid w:val="00121E50"/>
    <w:pPr>
      <w:keepNext/>
      <w:keepLines/>
      <w:spacing w:before="480" w:after="120"/>
    </w:pPr>
    <w:rPr>
      <w:b/>
      <w:sz w:val="72"/>
      <w:szCs w:val="72"/>
    </w:rPr>
  </w:style>
  <w:style w:type="paragraph" w:styleId="Header">
    <w:name w:val="header"/>
    <w:basedOn w:val="Normal"/>
    <w:link w:val="HeaderChar"/>
    <w:uiPriority w:val="99"/>
    <w:unhideWhenUsed/>
    <w:rsid w:val="003B2226"/>
    <w:pPr>
      <w:tabs>
        <w:tab w:val="center" w:pos="4513"/>
        <w:tab w:val="right" w:pos="9026"/>
      </w:tabs>
    </w:pPr>
  </w:style>
  <w:style w:type="character" w:customStyle="1" w:styleId="HeaderChar">
    <w:name w:val="Header Char"/>
    <w:basedOn w:val="DefaultParagraphFont"/>
    <w:link w:val="Header"/>
    <w:uiPriority w:val="99"/>
    <w:rsid w:val="003B2226"/>
  </w:style>
  <w:style w:type="paragraph" w:styleId="Footer">
    <w:name w:val="footer"/>
    <w:basedOn w:val="Normal"/>
    <w:link w:val="FooterChar"/>
    <w:uiPriority w:val="99"/>
    <w:unhideWhenUsed/>
    <w:rsid w:val="003B2226"/>
    <w:pPr>
      <w:tabs>
        <w:tab w:val="center" w:pos="4513"/>
        <w:tab w:val="right" w:pos="9026"/>
      </w:tabs>
    </w:pPr>
  </w:style>
  <w:style w:type="character" w:customStyle="1" w:styleId="FooterChar">
    <w:name w:val="Footer Char"/>
    <w:basedOn w:val="DefaultParagraphFont"/>
    <w:link w:val="Footer"/>
    <w:uiPriority w:val="99"/>
    <w:rsid w:val="003B2226"/>
  </w:style>
  <w:style w:type="character" w:customStyle="1" w:styleId="Heading1Char">
    <w:name w:val="Heading 1 Char"/>
    <w:basedOn w:val="DefaultParagraphFont"/>
    <w:link w:val="Heading1"/>
    <w:uiPriority w:val="9"/>
    <w:rsid w:val="003B2226"/>
    <w:rPr>
      <w:rFonts w:ascii="Times New Roman" w:eastAsia="Times New Roman" w:hAnsi="Times New Roman" w:cs="Times New Roman"/>
      <w:b/>
      <w:bCs/>
      <w:sz w:val="24"/>
      <w:szCs w:val="24"/>
      <w:lang w:val="en-US" w:bidi="en-US"/>
    </w:rPr>
  </w:style>
  <w:style w:type="paragraph" w:styleId="BalloonText">
    <w:name w:val="Balloon Text"/>
    <w:basedOn w:val="Normal"/>
    <w:link w:val="BalloonTextChar"/>
    <w:uiPriority w:val="99"/>
    <w:semiHidden/>
    <w:unhideWhenUsed/>
    <w:rsid w:val="003B2226"/>
    <w:rPr>
      <w:rFonts w:ascii="Tahoma" w:hAnsi="Tahoma" w:cs="Tahoma"/>
      <w:sz w:val="16"/>
      <w:szCs w:val="16"/>
    </w:rPr>
  </w:style>
  <w:style w:type="character" w:customStyle="1" w:styleId="BalloonTextChar">
    <w:name w:val="Balloon Text Char"/>
    <w:basedOn w:val="DefaultParagraphFont"/>
    <w:link w:val="BalloonText"/>
    <w:uiPriority w:val="99"/>
    <w:semiHidden/>
    <w:rsid w:val="003B2226"/>
    <w:rPr>
      <w:rFonts w:ascii="Tahoma" w:eastAsia="Times New Roman" w:hAnsi="Tahoma" w:cs="Tahoma"/>
      <w:sz w:val="16"/>
      <w:szCs w:val="16"/>
      <w:lang w:val="en-US" w:bidi="en-US"/>
    </w:rPr>
  </w:style>
  <w:style w:type="character" w:styleId="Hyperlink">
    <w:name w:val="Hyperlink"/>
    <w:basedOn w:val="DefaultParagraphFont"/>
    <w:uiPriority w:val="99"/>
    <w:unhideWhenUsed/>
    <w:rsid w:val="003B2226"/>
    <w:rPr>
      <w:color w:val="0000FF"/>
      <w:u w:val="single"/>
    </w:rPr>
  </w:style>
  <w:style w:type="paragraph" w:styleId="BodyText">
    <w:name w:val="Body Text"/>
    <w:basedOn w:val="Normal"/>
    <w:link w:val="BodyTextChar"/>
    <w:uiPriority w:val="1"/>
    <w:qFormat/>
    <w:rsid w:val="00045989"/>
    <w:rPr>
      <w:sz w:val="24"/>
      <w:szCs w:val="24"/>
    </w:rPr>
  </w:style>
  <w:style w:type="character" w:customStyle="1" w:styleId="BodyTextChar">
    <w:name w:val="Body Text Char"/>
    <w:basedOn w:val="DefaultParagraphFont"/>
    <w:link w:val="BodyText"/>
    <w:uiPriority w:val="1"/>
    <w:rsid w:val="00045989"/>
    <w:rPr>
      <w:rFonts w:ascii="Times New Roman" w:eastAsia="Times New Roman" w:hAnsi="Times New Roman" w:cs="Times New Roman"/>
      <w:sz w:val="24"/>
      <w:szCs w:val="24"/>
      <w:lang w:val="en-US" w:bidi="en-US"/>
    </w:rPr>
  </w:style>
  <w:style w:type="paragraph" w:styleId="Subtitle">
    <w:name w:val="Subtitle"/>
    <w:basedOn w:val="Normal"/>
    <w:next w:val="Normal"/>
    <w:rsid w:val="00121E50"/>
    <w:pPr>
      <w:keepNext/>
      <w:keepLines/>
      <w:spacing w:before="360" w:after="80"/>
    </w:pPr>
    <w:rPr>
      <w:rFonts w:ascii="Georgia" w:eastAsia="Georgia" w:hAnsi="Georgia" w:cs="Georgia"/>
      <w:i/>
      <w:color w:val="666666"/>
      <w:sz w:val="48"/>
      <w:szCs w:val="48"/>
    </w:rPr>
  </w:style>
  <w:style w:type="table" w:customStyle="1" w:styleId="a">
    <w:basedOn w:val="TableNormal"/>
    <w:rsid w:val="00121E50"/>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semiHidden/>
    <w:unhideWhenUsed/>
    <w:rsid w:val="00F35399"/>
    <w:pPr>
      <w:widowControl/>
      <w:autoSpaceDE/>
      <w:autoSpaceDN/>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sid w:val="00F35399"/>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F35399"/>
    <w:rPr>
      <w:vertAlign w:val="superscript"/>
    </w:rPr>
  </w:style>
  <w:style w:type="paragraph" w:styleId="ListParagraph">
    <w:name w:val="List Paragraph"/>
    <w:aliases w:val="List Paragraph Inventariasi,kepala,Light Grid - Accent 31,Heading 3 baru,SUB BAB2,TABEL,Table,Normal ind,Body of text,List Paragraph1,ANNEX,HEADING 1"/>
    <w:basedOn w:val="Normal"/>
    <w:link w:val="ListParagraphChar"/>
    <w:uiPriority w:val="34"/>
    <w:qFormat/>
    <w:rsid w:val="00F35399"/>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customStyle="1" w:styleId="ListParagraphChar">
    <w:name w:val="List Paragraph Char"/>
    <w:aliases w:val="List Paragraph Inventariasi Char,kepala Char,Light Grid - Accent 31 Char,Heading 3 baru Char,SUB BAB2 Char,TABEL Char,Table Char,Normal ind Char,Body of text Char,List Paragraph1 Char,ANNEX Char,HEADING 1 Char"/>
    <w:link w:val="ListParagraph"/>
    <w:uiPriority w:val="34"/>
    <w:locked/>
    <w:rsid w:val="00F35399"/>
    <w:rPr>
      <w:rFonts w:asciiTheme="minorHAnsi" w:eastAsiaTheme="minorHAnsi" w:hAnsiTheme="minorHAnsi" w:cstheme="minorBidi"/>
      <w:lang w:eastAsia="en-US"/>
    </w:rPr>
  </w:style>
  <w:style w:type="table" w:styleId="TableGrid">
    <w:name w:val="Table Grid"/>
    <w:basedOn w:val="TableNormal"/>
    <w:uiPriority w:val="59"/>
    <w:rsid w:val="00F35399"/>
    <w:pPr>
      <w:widowControl/>
      <w:spacing w:line="360" w:lineRule="auto"/>
    </w:pPr>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22229">
      <w:bodyDiv w:val="1"/>
      <w:marLeft w:val="0"/>
      <w:marRight w:val="0"/>
      <w:marTop w:val="0"/>
      <w:marBottom w:val="0"/>
      <w:divBdr>
        <w:top w:val="none" w:sz="0" w:space="0" w:color="auto"/>
        <w:left w:val="none" w:sz="0" w:space="0" w:color="auto"/>
        <w:bottom w:val="none" w:sz="0" w:space="0" w:color="auto"/>
        <w:right w:val="none" w:sz="0" w:space="0" w:color="auto"/>
      </w:divBdr>
      <w:divsChild>
        <w:div w:id="23867139">
          <w:marLeft w:val="0"/>
          <w:marRight w:val="0"/>
          <w:marTop w:val="0"/>
          <w:marBottom w:val="0"/>
          <w:divBdr>
            <w:top w:val="none" w:sz="0" w:space="0" w:color="auto"/>
            <w:left w:val="none" w:sz="0" w:space="0" w:color="auto"/>
            <w:bottom w:val="none" w:sz="0" w:space="0" w:color="auto"/>
            <w:right w:val="none" w:sz="0" w:space="0" w:color="auto"/>
          </w:divBdr>
        </w:div>
        <w:div w:id="719325081">
          <w:marLeft w:val="0"/>
          <w:marRight w:val="0"/>
          <w:marTop w:val="0"/>
          <w:marBottom w:val="0"/>
          <w:divBdr>
            <w:top w:val="none" w:sz="0" w:space="0" w:color="auto"/>
            <w:left w:val="none" w:sz="0" w:space="0" w:color="auto"/>
            <w:bottom w:val="none" w:sz="0" w:space="0" w:color="auto"/>
            <w:right w:val="none" w:sz="0" w:space="0" w:color="auto"/>
          </w:divBdr>
        </w:div>
        <w:div w:id="2135713229">
          <w:marLeft w:val="0"/>
          <w:marRight w:val="0"/>
          <w:marTop w:val="0"/>
          <w:marBottom w:val="0"/>
          <w:divBdr>
            <w:top w:val="none" w:sz="0" w:space="0" w:color="auto"/>
            <w:left w:val="none" w:sz="0" w:space="0" w:color="auto"/>
            <w:bottom w:val="none" w:sz="0" w:space="0" w:color="auto"/>
            <w:right w:val="none" w:sz="0" w:space="0" w:color="auto"/>
          </w:divBdr>
        </w:div>
        <w:div w:id="86385421">
          <w:marLeft w:val="0"/>
          <w:marRight w:val="0"/>
          <w:marTop w:val="0"/>
          <w:marBottom w:val="0"/>
          <w:divBdr>
            <w:top w:val="none" w:sz="0" w:space="0" w:color="auto"/>
            <w:left w:val="none" w:sz="0" w:space="0" w:color="auto"/>
            <w:bottom w:val="none" w:sz="0" w:space="0" w:color="auto"/>
            <w:right w:val="none" w:sz="0" w:space="0" w:color="auto"/>
          </w:divBdr>
        </w:div>
        <w:div w:id="973558383">
          <w:marLeft w:val="0"/>
          <w:marRight w:val="0"/>
          <w:marTop w:val="0"/>
          <w:marBottom w:val="0"/>
          <w:divBdr>
            <w:top w:val="none" w:sz="0" w:space="0" w:color="auto"/>
            <w:left w:val="none" w:sz="0" w:space="0" w:color="auto"/>
            <w:bottom w:val="none" w:sz="0" w:space="0" w:color="auto"/>
            <w:right w:val="none" w:sz="0" w:space="0" w:color="auto"/>
          </w:divBdr>
        </w:div>
        <w:div w:id="96953087">
          <w:marLeft w:val="0"/>
          <w:marRight w:val="0"/>
          <w:marTop w:val="0"/>
          <w:marBottom w:val="0"/>
          <w:divBdr>
            <w:top w:val="none" w:sz="0" w:space="0" w:color="auto"/>
            <w:left w:val="none" w:sz="0" w:space="0" w:color="auto"/>
            <w:bottom w:val="none" w:sz="0" w:space="0" w:color="auto"/>
            <w:right w:val="none" w:sz="0" w:space="0" w:color="auto"/>
          </w:divBdr>
        </w:div>
        <w:div w:id="1739670065">
          <w:marLeft w:val="0"/>
          <w:marRight w:val="0"/>
          <w:marTop w:val="0"/>
          <w:marBottom w:val="0"/>
          <w:divBdr>
            <w:top w:val="none" w:sz="0" w:space="0" w:color="auto"/>
            <w:left w:val="none" w:sz="0" w:space="0" w:color="auto"/>
            <w:bottom w:val="none" w:sz="0" w:space="0" w:color="auto"/>
            <w:right w:val="none" w:sz="0" w:space="0" w:color="auto"/>
          </w:divBdr>
        </w:div>
        <w:div w:id="1590503571">
          <w:marLeft w:val="0"/>
          <w:marRight w:val="0"/>
          <w:marTop w:val="0"/>
          <w:marBottom w:val="0"/>
          <w:divBdr>
            <w:top w:val="none" w:sz="0" w:space="0" w:color="auto"/>
            <w:left w:val="none" w:sz="0" w:space="0" w:color="auto"/>
            <w:bottom w:val="none" w:sz="0" w:space="0" w:color="auto"/>
            <w:right w:val="none" w:sz="0" w:space="0" w:color="auto"/>
          </w:divBdr>
        </w:div>
        <w:div w:id="326901030">
          <w:marLeft w:val="0"/>
          <w:marRight w:val="0"/>
          <w:marTop w:val="0"/>
          <w:marBottom w:val="0"/>
          <w:divBdr>
            <w:top w:val="none" w:sz="0" w:space="0" w:color="auto"/>
            <w:left w:val="none" w:sz="0" w:space="0" w:color="auto"/>
            <w:bottom w:val="none" w:sz="0" w:space="0" w:color="auto"/>
            <w:right w:val="none" w:sz="0" w:space="0" w:color="auto"/>
          </w:divBdr>
        </w:div>
        <w:div w:id="1082023594">
          <w:marLeft w:val="0"/>
          <w:marRight w:val="0"/>
          <w:marTop w:val="0"/>
          <w:marBottom w:val="0"/>
          <w:divBdr>
            <w:top w:val="none" w:sz="0" w:space="0" w:color="auto"/>
            <w:left w:val="none" w:sz="0" w:space="0" w:color="auto"/>
            <w:bottom w:val="none" w:sz="0" w:space="0" w:color="auto"/>
            <w:right w:val="none" w:sz="0" w:space="0" w:color="auto"/>
          </w:divBdr>
        </w:div>
        <w:div w:id="1346204840">
          <w:marLeft w:val="0"/>
          <w:marRight w:val="0"/>
          <w:marTop w:val="0"/>
          <w:marBottom w:val="0"/>
          <w:divBdr>
            <w:top w:val="none" w:sz="0" w:space="0" w:color="auto"/>
            <w:left w:val="none" w:sz="0" w:space="0" w:color="auto"/>
            <w:bottom w:val="none" w:sz="0" w:space="0" w:color="auto"/>
            <w:right w:val="none" w:sz="0" w:space="0" w:color="auto"/>
          </w:divBdr>
        </w:div>
        <w:div w:id="224269405">
          <w:marLeft w:val="0"/>
          <w:marRight w:val="0"/>
          <w:marTop w:val="0"/>
          <w:marBottom w:val="0"/>
          <w:divBdr>
            <w:top w:val="none" w:sz="0" w:space="0" w:color="auto"/>
            <w:left w:val="none" w:sz="0" w:space="0" w:color="auto"/>
            <w:bottom w:val="none" w:sz="0" w:space="0" w:color="auto"/>
            <w:right w:val="none" w:sz="0" w:space="0" w:color="auto"/>
          </w:divBdr>
        </w:div>
        <w:div w:id="1329094786">
          <w:marLeft w:val="0"/>
          <w:marRight w:val="0"/>
          <w:marTop w:val="0"/>
          <w:marBottom w:val="0"/>
          <w:divBdr>
            <w:top w:val="none" w:sz="0" w:space="0" w:color="auto"/>
            <w:left w:val="none" w:sz="0" w:space="0" w:color="auto"/>
            <w:bottom w:val="none" w:sz="0" w:space="0" w:color="auto"/>
            <w:right w:val="none" w:sz="0" w:space="0" w:color="auto"/>
          </w:divBdr>
        </w:div>
        <w:div w:id="1994403660">
          <w:marLeft w:val="0"/>
          <w:marRight w:val="0"/>
          <w:marTop w:val="0"/>
          <w:marBottom w:val="0"/>
          <w:divBdr>
            <w:top w:val="none" w:sz="0" w:space="0" w:color="auto"/>
            <w:left w:val="none" w:sz="0" w:space="0" w:color="auto"/>
            <w:bottom w:val="none" w:sz="0" w:space="0" w:color="auto"/>
            <w:right w:val="none" w:sz="0" w:space="0" w:color="auto"/>
          </w:divBdr>
        </w:div>
        <w:div w:id="458231250">
          <w:marLeft w:val="0"/>
          <w:marRight w:val="0"/>
          <w:marTop w:val="0"/>
          <w:marBottom w:val="0"/>
          <w:divBdr>
            <w:top w:val="none" w:sz="0" w:space="0" w:color="auto"/>
            <w:left w:val="none" w:sz="0" w:space="0" w:color="auto"/>
            <w:bottom w:val="none" w:sz="0" w:space="0" w:color="auto"/>
            <w:right w:val="none" w:sz="0" w:space="0" w:color="auto"/>
          </w:divBdr>
        </w:div>
        <w:div w:id="1240141669">
          <w:marLeft w:val="0"/>
          <w:marRight w:val="0"/>
          <w:marTop w:val="0"/>
          <w:marBottom w:val="0"/>
          <w:divBdr>
            <w:top w:val="none" w:sz="0" w:space="0" w:color="auto"/>
            <w:left w:val="none" w:sz="0" w:space="0" w:color="auto"/>
            <w:bottom w:val="none" w:sz="0" w:space="0" w:color="auto"/>
            <w:right w:val="none" w:sz="0" w:space="0" w:color="auto"/>
          </w:divBdr>
        </w:div>
        <w:div w:id="793064890">
          <w:marLeft w:val="0"/>
          <w:marRight w:val="0"/>
          <w:marTop w:val="0"/>
          <w:marBottom w:val="0"/>
          <w:divBdr>
            <w:top w:val="none" w:sz="0" w:space="0" w:color="auto"/>
            <w:left w:val="none" w:sz="0" w:space="0" w:color="auto"/>
            <w:bottom w:val="none" w:sz="0" w:space="0" w:color="auto"/>
            <w:right w:val="none" w:sz="0" w:space="0" w:color="auto"/>
          </w:divBdr>
        </w:div>
        <w:div w:id="759644657">
          <w:marLeft w:val="0"/>
          <w:marRight w:val="0"/>
          <w:marTop w:val="0"/>
          <w:marBottom w:val="0"/>
          <w:divBdr>
            <w:top w:val="none" w:sz="0" w:space="0" w:color="auto"/>
            <w:left w:val="none" w:sz="0" w:space="0" w:color="auto"/>
            <w:bottom w:val="none" w:sz="0" w:space="0" w:color="auto"/>
            <w:right w:val="none" w:sz="0" w:space="0" w:color="auto"/>
          </w:divBdr>
        </w:div>
        <w:div w:id="1322655541">
          <w:marLeft w:val="0"/>
          <w:marRight w:val="0"/>
          <w:marTop w:val="0"/>
          <w:marBottom w:val="0"/>
          <w:divBdr>
            <w:top w:val="none" w:sz="0" w:space="0" w:color="auto"/>
            <w:left w:val="none" w:sz="0" w:space="0" w:color="auto"/>
            <w:bottom w:val="none" w:sz="0" w:space="0" w:color="auto"/>
            <w:right w:val="none" w:sz="0" w:space="0" w:color="auto"/>
          </w:divBdr>
        </w:div>
        <w:div w:id="1175027625">
          <w:marLeft w:val="0"/>
          <w:marRight w:val="0"/>
          <w:marTop w:val="0"/>
          <w:marBottom w:val="0"/>
          <w:divBdr>
            <w:top w:val="none" w:sz="0" w:space="0" w:color="auto"/>
            <w:left w:val="none" w:sz="0" w:space="0" w:color="auto"/>
            <w:bottom w:val="none" w:sz="0" w:space="0" w:color="auto"/>
            <w:right w:val="none" w:sz="0" w:space="0" w:color="auto"/>
          </w:divBdr>
        </w:div>
        <w:div w:id="826627669">
          <w:marLeft w:val="0"/>
          <w:marRight w:val="0"/>
          <w:marTop w:val="0"/>
          <w:marBottom w:val="0"/>
          <w:divBdr>
            <w:top w:val="none" w:sz="0" w:space="0" w:color="auto"/>
            <w:left w:val="none" w:sz="0" w:space="0" w:color="auto"/>
            <w:bottom w:val="none" w:sz="0" w:space="0" w:color="auto"/>
            <w:right w:val="none" w:sz="0" w:space="0" w:color="auto"/>
          </w:divBdr>
        </w:div>
        <w:div w:id="615596827">
          <w:marLeft w:val="0"/>
          <w:marRight w:val="0"/>
          <w:marTop w:val="0"/>
          <w:marBottom w:val="0"/>
          <w:divBdr>
            <w:top w:val="none" w:sz="0" w:space="0" w:color="auto"/>
            <w:left w:val="none" w:sz="0" w:space="0" w:color="auto"/>
            <w:bottom w:val="none" w:sz="0" w:space="0" w:color="auto"/>
            <w:right w:val="none" w:sz="0" w:space="0" w:color="auto"/>
          </w:divBdr>
        </w:div>
      </w:divsChild>
    </w:div>
    <w:div w:id="201527891">
      <w:bodyDiv w:val="1"/>
      <w:marLeft w:val="0"/>
      <w:marRight w:val="0"/>
      <w:marTop w:val="0"/>
      <w:marBottom w:val="0"/>
      <w:divBdr>
        <w:top w:val="none" w:sz="0" w:space="0" w:color="auto"/>
        <w:left w:val="none" w:sz="0" w:space="0" w:color="auto"/>
        <w:bottom w:val="none" w:sz="0" w:space="0" w:color="auto"/>
        <w:right w:val="none" w:sz="0" w:space="0" w:color="auto"/>
      </w:divBdr>
      <w:divsChild>
        <w:div w:id="1638147639">
          <w:marLeft w:val="0"/>
          <w:marRight w:val="0"/>
          <w:marTop w:val="0"/>
          <w:marBottom w:val="0"/>
          <w:divBdr>
            <w:top w:val="none" w:sz="0" w:space="0" w:color="auto"/>
            <w:left w:val="none" w:sz="0" w:space="0" w:color="auto"/>
            <w:bottom w:val="none" w:sz="0" w:space="0" w:color="auto"/>
            <w:right w:val="none" w:sz="0" w:space="0" w:color="auto"/>
          </w:divBdr>
        </w:div>
        <w:div w:id="592011621">
          <w:marLeft w:val="0"/>
          <w:marRight w:val="0"/>
          <w:marTop w:val="0"/>
          <w:marBottom w:val="0"/>
          <w:divBdr>
            <w:top w:val="none" w:sz="0" w:space="0" w:color="auto"/>
            <w:left w:val="none" w:sz="0" w:space="0" w:color="auto"/>
            <w:bottom w:val="none" w:sz="0" w:space="0" w:color="auto"/>
            <w:right w:val="none" w:sz="0" w:space="0" w:color="auto"/>
          </w:divBdr>
        </w:div>
        <w:div w:id="285359198">
          <w:marLeft w:val="0"/>
          <w:marRight w:val="0"/>
          <w:marTop w:val="0"/>
          <w:marBottom w:val="0"/>
          <w:divBdr>
            <w:top w:val="none" w:sz="0" w:space="0" w:color="auto"/>
            <w:left w:val="none" w:sz="0" w:space="0" w:color="auto"/>
            <w:bottom w:val="none" w:sz="0" w:space="0" w:color="auto"/>
            <w:right w:val="none" w:sz="0" w:space="0" w:color="auto"/>
          </w:divBdr>
        </w:div>
        <w:div w:id="1800148352">
          <w:marLeft w:val="0"/>
          <w:marRight w:val="0"/>
          <w:marTop w:val="0"/>
          <w:marBottom w:val="0"/>
          <w:divBdr>
            <w:top w:val="none" w:sz="0" w:space="0" w:color="auto"/>
            <w:left w:val="none" w:sz="0" w:space="0" w:color="auto"/>
            <w:bottom w:val="none" w:sz="0" w:space="0" w:color="auto"/>
            <w:right w:val="none" w:sz="0" w:space="0" w:color="auto"/>
          </w:divBdr>
        </w:div>
        <w:div w:id="1763183519">
          <w:marLeft w:val="0"/>
          <w:marRight w:val="0"/>
          <w:marTop w:val="0"/>
          <w:marBottom w:val="0"/>
          <w:divBdr>
            <w:top w:val="none" w:sz="0" w:space="0" w:color="auto"/>
            <w:left w:val="none" w:sz="0" w:space="0" w:color="auto"/>
            <w:bottom w:val="none" w:sz="0" w:space="0" w:color="auto"/>
            <w:right w:val="none" w:sz="0" w:space="0" w:color="auto"/>
          </w:divBdr>
        </w:div>
        <w:div w:id="1437679212">
          <w:marLeft w:val="0"/>
          <w:marRight w:val="0"/>
          <w:marTop w:val="0"/>
          <w:marBottom w:val="0"/>
          <w:divBdr>
            <w:top w:val="none" w:sz="0" w:space="0" w:color="auto"/>
            <w:left w:val="none" w:sz="0" w:space="0" w:color="auto"/>
            <w:bottom w:val="none" w:sz="0" w:space="0" w:color="auto"/>
            <w:right w:val="none" w:sz="0" w:space="0" w:color="auto"/>
          </w:divBdr>
        </w:div>
        <w:div w:id="1302731452">
          <w:marLeft w:val="0"/>
          <w:marRight w:val="0"/>
          <w:marTop w:val="0"/>
          <w:marBottom w:val="0"/>
          <w:divBdr>
            <w:top w:val="none" w:sz="0" w:space="0" w:color="auto"/>
            <w:left w:val="none" w:sz="0" w:space="0" w:color="auto"/>
            <w:bottom w:val="none" w:sz="0" w:space="0" w:color="auto"/>
            <w:right w:val="none" w:sz="0" w:space="0" w:color="auto"/>
          </w:divBdr>
        </w:div>
        <w:div w:id="758136241">
          <w:marLeft w:val="0"/>
          <w:marRight w:val="0"/>
          <w:marTop w:val="0"/>
          <w:marBottom w:val="0"/>
          <w:divBdr>
            <w:top w:val="none" w:sz="0" w:space="0" w:color="auto"/>
            <w:left w:val="none" w:sz="0" w:space="0" w:color="auto"/>
            <w:bottom w:val="none" w:sz="0" w:space="0" w:color="auto"/>
            <w:right w:val="none" w:sz="0" w:space="0" w:color="auto"/>
          </w:divBdr>
        </w:div>
        <w:div w:id="1277835162">
          <w:marLeft w:val="0"/>
          <w:marRight w:val="0"/>
          <w:marTop w:val="0"/>
          <w:marBottom w:val="0"/>
          <w:divBdr>
            <w:top w:val="none" w:sz="0" w:space="0" w:color="auto"/>
            <w:left w:val="none" w:sz="0" w:space="0" w:color="auto"/>
            <w:bottom w:val="none" w:sz="0" w:space="0" w:color="auto"/>
            <w:right w:val="none" w:sz="0" w:space="0" w:color="auto"/>
          </w:divBdr>
        </w:div>
        <w:div w:id="449320385">
          <w:marLeft w:val="0"/>
          <w:marRight w:val="0"/>
          <w:marTop w:val="0"/>
          <w:marBottom w:val="0"/>
          <w:divBdr>
            <w:top w:val="none" w:sz="0" w:space="0" w:color="auto"/>
            <w:left w:val="none" w:sz="0" w:space="0" w:color="auto"/>
            <w:bottom w:val="none" w:sz="0" w:space="0" w:color="auto"/>
            <w:right w:val="none" w:sz="0" w:space="0" w:color="auto"/>
          </w:divBdr>
        </w:div>
        <w:div w:id="443885420">
          <w:marLeft w:val="0"/>
          <w:marRight w:val="0"/>
          <w:marTop w:val="0"/>
          <w:marBottom w:val="0"/>
          <w:divBdr>
            <w:top w:val="none" w:sz="0" w:space="0" w:color="auto"/>
            <w:left w:val="none" w:sz="0" w:space="0" w:color="auto"/>
            <w:bottom w:val="none" w:sz="0" w:space="0" w:color="auto"/>
            <w:right w:val="none" w:sz="0" w:space="0" w:color="auto"/>
          </w:divBdr>
        </w:div>
        <w:div w:id="2016953250">
          <w:marLeft w:val="0"/>
          <w:marRight w:val="0"/>
          <w:marTop w:val="0"/>
          <w:marBottom w:val="0"/>
          <w:divBdr>
            <w:top w:val="none" w:sz="0" w:space="0" w:color="auto"/>
            <w:left w:val="none" w:sz="0" w:space="0" w:color="auto"/>
            <w:bottom w:val="none" w:sz="0" w:space="0" w:color="auto"/>
            <w:right w:val="none" w:sz="0" w:space="0" w:color="auto"/>
          </w:divBdr>
        </w:div>
        <w:div w:id="890310432">
          <w:marLeft w:val="0"/>
          <w:marRight w:val="0"/>
          <w:marTop w:val="0"/>
          <w:marBottom w:val="0"/>
          <w:divBdr>
            <w:top w:val="none" w:sz="0" w:space="0" w:color="auto"/>
            <w:left w:val="none" w:sz="0" w:space="0" w:color="auto"/>
            <w:bottom w:val="none" w:sz="0" w:space="0" w:color="auto"/>
            <w:right w:val="none" w:sz="0" w:space="0" w:color="auto"/>
          </w:divBdr>
        </w:div>
        <w:div w:id="1369451995">
          <w:marLeft w:val="0"/>
          <w:marRight w:val="0"/>
          <w:marTop w:val="0"/>
          <w:marBottom w:val="0"/>
          <w:divBdr>
            <w:top w:val="none" w:sz="0" w:space="0" w:color="auto"/>
            <w:left w:val="none" w:sz="0" w:space="0" w:color="auto"/>
            <w:bottom w:val="none" w:sz="0" w:space="0" w:color="auto"/>
            <w:right w:val="none" w:sz="0" w:space="0" w:color="auto"/>
          </w:divBdr>
        </w:div>
        <w:div w:id="958098923">
          <w:marLeft w:val="0"/>
          <w:marRight w:val="0"/>
          <w:marTop w:val="0"/>
          <w:marBottom w:val="0"/>
          <w:divBdr>
            <w:top w:val="none" w:sz="0" w:space="0" w:color="auto"/>
            <w:left w:val="none" w:sz="0" w:space="0" w:color="auto"/>
            <w:bottom w:val="none" w:sz="0" w:space="0" w:color="auto"/>
            <w:right w:val="none" w:sz="0" w:space="0" w:color="auto"/>
          </w:divBdr>
        </w:div>
        <w:div w:id="1938245418">
          <w:marLeft w:val="0"/>
          <w:marRight w:val="0"/>
          <w:marTop w:val="0"/>
          <w:marBottom w:val="0"/>
          <w:divBdr>
            <w:top w:val="none" w:sz="0" w:space="0" w:color="auto"/>
            <w:left w:val="none" w:sz="0" w:space="0" w:color="auto"/>
            <w:bottom w:val="none" w:sz="0" w:space="0" w:color="auto"/>
            <w:right w:val="none" w:sz="0" w:space="0" w:color="auto"/>
          </w:divBdr>
        </w:div>
        <w:div w:id="1168331263">
          <w:marLeft w:val="0"/>
          <w:marRight w:val="0"/>
          <w:marTop w:val="0"/>
          <w:marBottom w:val="0"/>
          <w:divBdr>
            <w:top w:val="none" w:sz="0" w:space="0" w:color="auto"/>
            <w:left w:val="none" w:sz="0" w:space="0" w:color="auto"/>
            <w:bottom w:val="none" w:sz="0" w:space="0" w:color="auto"/>
            <w:right w:val="none" w:sz="0" w:space="0" w:color="auto"/>
          </w:divBdr>
        </w:div>
        <w:div w:id="1200245804">
          <w:marLeft w:val="0"/>
          <w:marRight w:val="0"/>
          <w:marTop w:val="0"/>
          <w:marBottom w:val="0"/>
          <w:divBdr>
            <w:top w:val="none" w:sz="0" w:space="0" w:color="auto"/>
            <w:left w:val="none" w:sz="0" w:space="0" w:color="auto"/>
            <w:bottom w:val="none" w:sz="0" w:space="0" w:color="auto"/>
            <w:right w:val="none" w:sz="0" w:space="0" w:color="auto"/>
          </w:divBdr>
        </w:div>
        <w:div w:id="1318538755">
          <w:marLeft w:val="0"/>
          <w:marRight w:val="0"/>
          <w:marTop w:val="0"/>
          <w:marBottom w:val="0"/>
          <w:divBdr>
            <w:top w:val="none" w:sz="0" w:space="0" w:color="auto"/>
            <w:left w:val="none" w:sz="0" w:space="0" w:color="auto"/>
            <w:bottom w:val="none" w:sz="0" w:space="0" w:color="auto"/>
            <w:right w:val="none" w:sz="0" w:space="0" w:color="auto"/>
          </w:divBdr>
        </w:div>
        <w:div w:id="1951664667">
          <w:marLeft w:val="0"/>
          <w:marRight w:val="0"/>
          <w:marTop w:val="0"/>
          <w:marBottom w:val="0"/>
          <w:divBdr>
            <w:top w:val="none" w:sz="0" w:space="0" w:color="auto"/>
            <w:left w:val="none" w:sz="0" w:space="0" w:color="auto"/>
            <w:bottom w:val="none" w:sz="0" w:space="0" w:color="auto"/>
            <w:right w:val="none" w:sz="0" w:space="0" w:color="auto"/>
          </w:divBdr>
        </w:div>
        <w:div w:id="723329909">
          <w:marLeft w:val="0"/>
          <w:marRight w:val="0"/>
          <w:marTop w:val="0"/>
          <w:marBottom w:val="0"/>
          <w:divBdr>
            <w:top w:val="none" w:sz="0" w:space="0" w:color="auto"/>
            <w:left w:val="none" w:sz="0" w:space="0" w:color="auto"/>
            <w:bottom w:val="none" w:sz="0" w:space="0" w:color="auto"/>
            <w:right w:val="none" w:sz="0" w:space="0" w:color="auto"/>
          </w:divBdr>
        </w:div>
        <w:div w:id="1074009452">
          <w:marLeft w:val="0"/>
          <w:marRight w:val="0"/>
          <w:marTop w:val="0"/>
          <w:marBottom w:val="0"/>
          <w:divBdr>
            <w:top w:val="none" w:sz="0" w:space="0" w:color="auto"/>
            <w:left w:val="none" w:sz="0" w:space="0" w:color="auto"/>
            <w:bottom w:val="none" w:sz="0" w:space="0" w:color="auto"/>
            <w:right w:val="none" w:sz="0" w:space="0" w:color="auto"/>
          </w:divBdr>
        </w:div>
        <w:div w:id="1345594790">
          <w:marLeft w:val="0"/>
          <w:marRight w:val="0"/>
          <w:marTop w:val="0"/>
          <w:marBottom w:val="0"/>
          <w:divBdr>
            <w:top w:val="none" w:sz="0" w:space="0" w:color="auto"/>
            <w:left w:val="none" w:sz="0" w:space="0" w:color="auto"/>
            <w:bottom w:val="none" w:sz="0" w:space="0" w:color="auto"/>
            <w:right w:val="none" w:sz="0" w:space="0" w:color="auto"/>
          </w:divBdr>
        </w:div>
        <w:div w:id="2005743281">
          <w:marLeft w:val="0"/>
          <w:marRight w:val="0"/>
          <w:marTop w:val="0"/>
          <w:marBottom w:val="0"/>
          <w:divBdr>
            <w:top w:val="none" w:sz="0" w:space="0" w:color="auto"/>
            <w:left w:val="none" w:sz="0" w:space="0" w:color="auto"/>
            <w:bottom w:val="none" w:sz="0" w:space="0" w:color="auto"/>
            <w:right w:val="none" w:sz="0" w:space="0" w:color="auto"/>
          </w:divBdr>
        </w:div>
        <w:div w:id="1260411982">
          <w:marLeft w:val="0"/>
          <w:marRight w:val="0"/>
          <w:marTop w:val="0"/>
          <w:marBottom w:val="0"/>
          <w:divBdr>
            <w:top w:val="none" w:sz="0" w:space="0" w:color="auto"/>
            <w:left w:val="none" w:sz="0" w:space="0" w:color="auto"/>
            <w:bottom w:val="none" w:sz="0" w:space="0" w:color="auto"/>
            <w:right w:val="none" w:sz="0" w:space="0" w:color="auto"/>
          </w:divBdr>
        </w:div>
        <w:div w:id="932517790">
          <w:marLeft w:val="0"/>
          <w:marRight w:val="0"/>
          <w:marTop w:val="0"/>
          <w:marBottom w:val="0"/>
          <w:divBdr>
            <w:top w:val="none" w:sz="0" w:space="0" w:color="auto"/>
            <w:left w:val="none" w:sz="0" w:space="0" w:color="auto"/>
            <w:bottom w:val="none" w:sz="0" w:space="0" w:color="auto"/>
            <w:right w:val="none" w:sz="0" w:space="0" w:color="auto"/>
          </w:divBdr>
        </w:div>
        <w:div w:id="606817755">
          <w:marLeft w:val="0"/>
          <w:marRight w:val="0"/>
          <w:marTop w:val="0"/>
          <w:marBottom w:val="0"/>
          <w:divBdr>
            <w:top w:val="none" w:sz="0" w:space="0" w:color="auto"/>
            <w:left w:val="none" w:sz="0" w:space="0" w:color="auto"/>
            <w:bottom w:val="none" w:sz="0" w:space="0" w:color="auto"/>
            <w:right w:val="none" w:sz="0" w:space="0" w:color="auto"/>
          </w:divBdr>
        </w:div>
        <w:div w:id="2024431205">
          <w:marLeft w:val="0"/>
          <w:marRight w:val="0"/>
          <w:marTop w:val="0"/>
          <w:marBottom w:val="0"/>
          <w:divBdr>
            <w:top w:val="none" w:sz="0" w:space="0" w:color="auto"/>
            <w:left w:val="none" w:sz="0" w:space="0" w:color="auto"/>
            <w:bottom w:val="none" w:sz="0" w:space="0" w:color="auto"/>
            <w:right w:val="none" w:sz="0" w:space="0" w:color="auto"/>
          </w:divBdr>
        </w:div>
        <w:div w:id="1819300369">
          <w:marLeft w:val="0"/>
          <w:marRight w:val="0"/>
          <w:marTop w:val="0"/>
          <w:marBottom w:val="0"/>
          <w:divBdr>
            <w:top w:val="none" w:sz="0" w:space="0" w:color="auto"/>
            <w:left w:val="none" w:sz="0" w:space="0" w:color="auto"/>
            <w:bottom w:val="none" w:sz="0" w:space="0" w:color="auto"/>
            <w:right w:val="none" w:sz="0" w:space="0" w:color="auto"/>
          </w:divBdr>
        </w:div>
        <w:div w:id="2081705393">
          <w:marLeft w:val="0"/>
          <w:marRight w:val="0"/>
          <w:marTop w:val="0"/>
          <w:marBottom w:val="0"/>
          <w:divBdr>
            <w:top w:val="none" w:sz="0" w:space="0" w:color="auto"/>
            <w:left w:val="none" w:sz="0" w:space="0" w:color="auto"/>
            <w:bottom w:val="none" w:sz="0" w:space="0" w:color="auto"/>
            <w:right w:val="none" w:sz="0" w:space="0" w:color="auto"/>
          </w:divBdr>
        </w:div>
        <w:div w:id="780803526">
          <w:marLeft w:val="0"/>
          <w:marRight w:val="0"/>
          <w:marTop w:val="0"/>
          <w:marBottom w:val="0"/>
          <w:divBdr>
            <w:top w:val="none" w:sz="0" w:space="0" w:color="auto"/>
            <w:left w:val="none" w:sz="0" w:space="0" w:color="auto"/>
            <w:bottom w:val="none" w:sz="0" w:space="0" w:color="auto"/>
            <w:right w:val="none" w:sz="0" w:space="0" w:color="auto"/>
          </w:divBdr>
        </w:div>
        <w:div w:id="886724571">
          <w:marLeft w:val="0"/>
          <w:marRight w:val="0"/>
          <w:marTop w:val="0"/>
          <w:marBottom w:val="0"/>
          <w:divBdr>
            <w:top w:val="none" w:sz="0" w:space="0" w:color="auto"/>
            <w:left w:val="none" w:sz="0" w:space="0" w:color="auto"/>
            <w:bottom w:val="none" w:sz="0" w:space="0" w:color="auto"/>
            <w:right w:val="none" w:sz="0" w:space="0" w:color="auto"/>
          </w:divBdr>
        </w:div>
        <w:div w:id="351806124">
          <w:marLeft w:val="0"/>
          <w:marRight w:val="0"/>
          <w:marTop w:val="0"/>
          <w:marBottom w:val="0"/>
          <w:divBdr>
            <w:top w:val="none" w:sz="0" w:space="0" w:color="auto"/>
            <w:left w:val="none" w:sz="0" w:space="0" w:color="auto"/>
            <w:bottom w:val="none" w:sz="0" w:space="0" w:color="auto"/>
            <w:right w:val="none" w:sz="0" w:space="0" w:color="auto"/>
          </w:divBdr>
        </w:div>
        <w:div w:id="1037662463">
          <w:marLeft w:val="0"/>
          <w:marRight w:val="0"/>
          <w:marTop w:val="0"/>
          <w:marBottom w:val="0"/>
          <w:divBdr>
            <w:top w:val="none" w:sz="0" w:space="0" w:color="auto"/>
            <w:left w:val="none" w:sz="0" w:space="0" w:color="auto"/>
            <w:bottom w:val="none" w:sz="0" w:space="0" w:color="auto"/>
            <w:right w:val="none" w:sz="0" w:space="0" w:color="auto"/>
          </w:divBdr>
        </w:div>
        <w:div w:id="210581582">
          <w:marLeft w:val="0"/>
          <w:marRight w:val="0"/>
          <w:marTop w:val="0"/>
          <w:marBottom w:val="0"/>
          <w:divBdr>
            <w:top w:val="none" w:sz="0" w:space="0" w:color="auto"/>
            <w:left w:val="none" w:sz="0" w:space="0" w:color="auto"/>
            <w:bottom w:val="none" w:sz="0" w:space="0" w:color="auto"/>
            <w:right w:val="none" w:sz="0" w:space="0" w:color="auto"/>
          </w:divBdr>
        </w:div>
        <w:div w:id="377360182">
          <w:marLeft w:val="0"/>
          <w:marRight w:val="0"/>
          <w:marTop w:val="0"/>
          <w:marBottom w:val="0"/>
          <w:divBdr>
            <w:top w:val="none" w:sz="0" w:space="0" w:color="auto"/>
            <w:left w:val="none" w:sz="0" w:space="0" w:color="auto"/>
            <w:bottom w:val="none" w:sz="0" w:space="0" w:color="auto"/>
            <w:right w:val="none" w:sz="0" w:space="0" w:color="auto"/>
          </w:divBdr>
        </w:div>
      </w:divsChild>
    </w:div>
    <w:div w:id="1301769025">
      <w:bodyDiv w:val="1"/>
      <w:marLeft w:val="0"/>
      <w:marRight w:val="0"/>
      <w:marTop w:val="0"/>
      <w:marBottom w:val="0"/>
      <w:divBdr>
        <w:top w:val="none" w:sz="0" w:space="0" w:color="auto"/>
        <w:left w:val="none" w:sz="0" w:space="0" w:color="auto"/>
        <w:bottom w:val="none" w:sz="0" w:space="0" w:color="auto"/>
        <w:right w:val="none" w:sz="0" w:space="0" w:color="auto"/>
      </w:divBdr>
      <w:divsChild>
        <w:div w:id="1074663668">
          <w:marLeft w:val="0"/>
          <w:marRight w:val="0"/>
          <w:marTop w:val="0"/>
          <w:marBottom w:val="0"/>
          <w:divBdr>
            <w:top w:val="none" w:sz="0" w:space="0" w:color="auto"/>
            <w:left w:val="none" w:sz="0" w:space="0" w:color="auto"/>
            <w:bottom w:val="none" w:sz="0" w:space="0" w:color="auto"/>
            <w:right w:val="none" w:sz="0" w:space="0" w:color="auto"/>
          </w:divBdr>
        </w:div>
        <w:div w:id="1667054824">
          <w:marLeft w:val="0"/>
          <w:marRight w:val="0"/>
          <w:marTop w:val="0"/>
          <w:marBottom w:val="0"/>
          <w:divBdr>
            <w:top w:val="none" w:sz="0" w:space="0" w:color="auto"/>
            <w:left w:val="none" w:sz="0" w:space="0" w:color="auto"/>
            <w:bottom w:val="none" w:sz="0" w:space="0" w:color="auto"/>
            <w:right w:val="none" w:sz="0" w:space="0" w:color="auto"/>
          </w:divBdr>
        </w:div>
        <w:div w:id="456072926">
          <w:marLeft w:val="0"/>
          <w:marRight w:val="0"/>
          <w:marTop w:val="0"/>
          <w:marBottom w:val="0"/>
          <w:divBdr>
            <w:top w:val="none" w:sz="0" w:space="0" w:color="auto"/>
            <w:left w:val="none" w:sz="0" w:space="0" w:color="auto"/>
            <w:bottom w:val="none" w:sz="0" w:space="0" w:color="auto"/>
            <w:right w:val="none" w:sz="0" w:space="0" w:color="auto"/>
          </w:divBdr>
        </w:div>
        <w:div w:id="1088575875">
          <w:marLeft w:val="0"/>
          <w:marRight w:val="0"/>
          <w:marTop w:val="0"/>
          <w:marBottom w:val="0"/>
          <w:divBdr>
            <w:top w:val="none" w:sz="0" w:space="0" w:color="auto"/>
            <w:left w:val="none" w:sz="0" w:space="0" w:color="auto"/>
            <w:bottom w:val="none" w:sz="0" w:space="0" w:color="auto"/>
            <w:right w:val="none" w:sz="0" w:space="0" w:color="auto"/>
          </w:divBdr>
        </w:div>
        <w:div w:id="253630888">
          <w:marLeft w:val="0"/>
          <w:marRight w:val="0"/>
          <w:marTop w:val="0"/>
          <w:marBottom w:val="0"/>
          <w:divBdr>
            <w:top w:val="none" w:sz="0" w:space="0" w:color="auto"/>
            <w:left w:val="none" w:sz="0" w:space="0" w:color="auto"/>
            <w:bottom w:val="none" w:sz="0" w:space="0" w:color="auto"/>
            <w:right w:val="none" w:sz="0" w:space="0" w:color="auto"/>
          </w:divBdr>
        </w:div>
        <w:div w:id="1181361137">
          <w:marLeft w:val="0"/>
          <w:marRight w:val="0"/>
          <w:marTop w:val="0"/>
          <w:marBottom w:val="0"/>
          <w:divBdr>
            <w:top w:val="none" w:sz="0" w:space="0" w:color="auto"/>
            <w:left w:val="none" w:sz="0" w:space="0" w:color="auto"/>
            <w:bottom w:val="none" w:sz="0" w:space="0" w:color="auto"/>
            <w:right w:val="none" w:sz="0" w:space="0" w:color="auto"/>
          </w:divBdr>
        </w:div>
        <w:div w:id="1970089580">
          <w:marLeft w:val="0"/>
          <w:marRight w:val="0"/>
          <w:marTop w:val="0"/>
          <w:marBottom w:val="0"/>
          <w:divBdr>
            <w:top w:val="none" w:sz="0" w:space="0" w:color="auto"/>
            <w:left w:val="none" w:sz="0" w:space="0" w:color="auto"/>
            <w:bottom w:val="none" w:sz="0" w:space="0" w:color="auto"/>
            <w:right w:val="none" w:sz="0" w:space="0" w:color="auto"/>
          </w:divBdr>
        </w:div>
        <w:div w:id="194320183">
          <w:marLeft w:val="0"/>
          <w:marRight w:val="0"/>
          <w:marTop w:val="0"/>
          <w:marBottom w:val="0"/>
          <w:divBdr>
            <w:top w:val="none" w:sz="0" w:space="0" w:color="auto"/>
            <w:left w:val="none" w:sz="0" w:space="0" w:color="auto"/>
            <w:bottom w:val="none" w:sz="0" w:space="0" w:color="auto"/>
            <w:right w:val="none" w:sz="0" w:space="0" w:color="auto"/>
          </w:divBdr>
        </w:div>
        <w:div w:id="672297025">
          <w:marLeft w:val="0"/>
          <w:marRight w:val="0"/>
          <w:marTop w:val="0"/>
          <w:marBottom w:val="0"/>
          <w:divBdr>
            <w:top w:val="none" w:sz="0" w:space="0" w:color="auto"/>
            <w:left w:val="none" w:sz="0" w:space="0" w:color="auto"/>
            <w:bottom w:val="none" w:sz="0" w:space="0" w:color="auto"/>
            <w:right w:val="none" w:sz="0" w:space="0" w:color="auto"/>
          </w:divBdr>
        </w:div>
        <w:div w:id="570622752">
          <w:marLeft w:val="0"/>
          <w:marRight w:val="0"/>
          <w:marTop w:val="0"/>
          <w:marBottom w:val="0"/>
          <w:divBdr>
            <w:top w:val="none" w:sz="0" w:space="0" w:color="auto"/>
            <w:left w:val="none" w:sz="0" w:space="0" w:color="auto"/>
            <w:bottom w:val="none" w:sz="0" w:space="0" w:color="auto"/>
            <w:right w:val="none" w:sz="0" w:space="0" w:color="auto"/>
          </w:divBdr>
        </w:div>
        <w:div w:id="1732339699">
          <w:marLeft w:val="0"/>
          <w:marRight w:val="0"/>
          <w:marTop w:val="0"/>
          <w:marBottom w:val="0"/>
          <w:divBdr>
            <w:top w:val="none" w:sz="0" w:space="0" w:color="auto"/>
            <w:left w:val="none" w:sz="0" w:space="0" w:color="auto"/>
            <w:bottom w:val="none" w:sz="0" w:space="0" w:color="auto"/>
            <w:right w:val="none" w:sz="0" w:space="0" w:color="auto"/>
          </w:divBdr>
        </w:div>
        <w:div w:id="2089423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7HDSddSACw7ErD5jtZ26jKcnzQ==">AMUW2mVF8Y3B8UmayvjzX6XPomMehIfURCbVy6N8S3Sz/RUt9qwUsnId+mAo8+aN0fjCH6Ighf5W/U4m0Par/yc2ZWLiEv1LdcSBu7v6ZZ9VCKvEPN/oJzRAiu6FtR+SLg0sahreTNtU1dk6dmMU5uUMHLy6R7XihA==</go:docsCustomData>
</go:gDocsCustomXmlDataStorag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9E4348-1764-41BD-A0CF-C2ABF48A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11</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8</cp:revision>
  <dcterms:created xsi:type="dcterms:W3CDTF">2022-07-14T08:59:00Z</dcterms:created>
  <dcterms:modified xsi:type="dcterms:W3CDTF">2022-07-15T05:17:00Z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http://www.zotero.org/styles/turabian-fullnote-bibliography</vt:lpwstr>
  </property>
  <property fmtid="{D5CDD505-2E9C-101B-9397-08002B2CF9AE}" pid="23" name="Mendeley Document_1">
    <vt:lpwstr>True</vt:lpwstr>
  </property>
  <property fmtid="{D5CDD505-2E9C-101B-9397-08002B2CF9AE}" pid="24" name="Mendeley Unique User Id_1">
    <vt:lpwstr>b9416e8f-3c00-3646-bc0b-d99a932328bc</vt:lpwstr>
  </property>
</Properties>
</file>